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120"/>
        <w:jc w:val="center"/>
      </w:pPr>
      <w:r>
        <w:drawing>
          <wp:inline xmlns:a="http://schemas.openxmlformats.org/drawingml/2006/main" xmlns:pic="http://schemas.openxmlformats.org/drawingml/2006/picture">
            <wp:extent cx="2148840" cy="600751"/>
            <wp:docPr id="1" name="Picture 1"/>
            <wp:cNvGraphicFramePr>
              <a:graphicFrameLocks noChangeAspect="1"/>
            </wp:cNvGraphicFramePr>
            <a:graphic>
              <a:graphicData uri="http://schemas.openxmlformats.org/drawingml/2006/picture">
                <pic:pic>
                  <pic:nvPicPr>
                    <pic:cNvPr id="0" name="Industrial-MD-Logo-header-color.png"/>
                    <pic:cNvPicPr/>
                  </pic:nvPicPr>
                  <pic:blipFill>
                    <a:blip r:embed="rId11"/>
                    <a:stretch>
                      <a:fillRect/>
                    </a:stretch>
                  </pic:blipFill>
                  <pic:spPr>
                    <a:xfrm>
                      <a:off x="0" y="0"/>
                      <a:ext cx="2148840" cy="600751"/>
                    </a:xfrm>
                    <a:prstGeom prst="rect"/>
                  </pic:spPr>
                </pic:pic>
              </a:graphicData>
            </a:graphic>
          </wp:inline>
        </w:drawing>
      </w:r>
    </w:p>
    <w:p>
      <w:pPr>
        <w:spacing w:after="240"/>
        <w:jc w:val="center"/>
      </w:pPr>
      <w:r>
        <w:rPr>
          <w:rFonts w:ascii="Calibri" w:hAnsi="Calibri"/>
          <w:b/>
          <w:color w:val="C8A046"/>
          <w:sz w:val="22"/>
        </w:rPr>
        <w:t>Executive White Paper</w:t>
      </w:r>
    </w:p>
    <w:p>
      <w:pPr>
        <w:spacing w:after="160"/>
        <w:jc w:val="center"/>
      </w:pPr>
      <w:r>
        <w:rPr>
          <w:rFonts w:ascii="Calibri" w:hAnsi="Calibri"/>
          <w:b/>
          <w:color w:val="112A46"/>
          <w:sz w:val="60"/>
        </w:rPr>
        <w:t>Predictive Thermal Management</w:t>
      </w:r>
    </w:p>
    <w:p>
      <w:pPr>
        <w:spacing w:after="80"/>
        <w:jc w:val="center"/>
      </w:pPr>
      <w:r>
        <w:rPr>
          <w:rFonts w:ascii="Calibri" w:hAnsi="Calibri"/>
          <w:color w:val="33373B"/>
          <w:sz w:val="28"/>
        </w:rPr>
        <w:t>A Heat Illness Prevention and Medical Direction Playbook for Heat-Exposed Industrial Employers</w:t>
      </w:r>
    </w:p>
    <w:p>
      <w:pPr>
        <w:spacing w:after="40"/>
        <w:jc w:val="center"/>
      </w:pPr>
      <w:r>
        <w:rPr>
          <w:rFonts w:ascii="Calibri" w:hAnsi="Calibri"/>
          <w:i/>
          <w:color w:val="5A6066"/>
          <w:sz w:val="21"/>
        </w:rPr>
        <w:t>By Dr. George E. Brown, Jr., M.D. | Owner and Medical Director, Industrial MD</w:t>
      </w:r>
    </w:p>
    <w:p>
      <w:pPr>
        <w:spacing w:after="120"/>
        <w:jc w:val="center"/>
      </w:pPr>
      <w:r>
        <w:rPr>
          <w:rFonts w:ascii="Calibri" w:hAnsi="Calibri"/>
          <w:i/>
          <w:color w:val="5A6066"/>
          <w:sz w:val="20"/>
        </w:rPr>
        <w:t>Reviewed by Dr. Ricky McShane, DO | Owner and Medical Director, Industrial MD</w:t>
      </w:r>
    </w:p>
    <w:p>
      <w:pPr>
        <w:spacing w:after="400"/>
        <w:jc w:val="center"/>
      </w:pPr>
      <w:r>
        <w:rPr>
          <w:rFonts w:ascii="Calibri" w:hAnsi="Calibri"/>
          <w:color w:val="5A6066"/>
          <w:sz w:val="19"/>
        </w:rPr>
        <w:t>Dr. Brown provides occupational medical direction for industrial employers. Dr. McShane reviewed the clinical framework, field escalation criteria, and return-to-work guidance.</w:t>
      </w:r>
    </w:p>
    <w:p>
      <w:pPr>
        <w:spacing w:before="80" w:after="480"/>
        <w:pBdr>
          <w:bottom w:val="single" w:sz="14" w:space="1" w:color="C8A046"/>
        </w:pBdr>
      </w:pPr>
    </w:p>
    <w:p>
      <w:pPr>
        <w:spacing w:after="280"/>
        <w:jc w:val="center"/>
      </w:pPr>
      <w:r>
        <w:rPr>
          <w:rFonts w:ascii="Calibri" w:hAnsi="Calibri"/>
          <w:color w:val="33373B"/>
          <w:sz w:val="21"/>
        </w:rPr>
        <w:t>For construction, energy, manufacturing, maritime, telecom, mining, utilities, and field operations where heat exposure, PPE, exertion, and production pressure intersect.</w:t>
      </w:r>
    </w:p>
    <w:p>
      <w:pPr>
        <w:spacing w:after="160"/>
        <w:jc w:val="center"/>
      </w:pPr>
      <w:r>
        <w:rPr>
          <w:rFonts w:ascii="Calibri" w:hAnsi="Calibri"/>
          <w:b/>
          <w:color w:val="112A46"/>
          <w:sz w:val="21"/>
        </w:rPr>
        <w:t>Inside this white paper</w:t>
      </w:r>
    </w:p>
    <w:p>
      <w:pPr>
        <w:pStyle w:val="ListBullet"/>
        <w:widowControl/>
      </w:pPr>
      <w:r>
        <w:rPr>
          <w:rFonts w:ascii="Calibri" w:hAnsi="Calibri"/>
          <w:color w:val="33373B"/>
        </w:rPr>
        <w:t>Why heat risk should be treated as a clinical operating system, not a seasonal reminder.</w:t>
      </w:r>
    </w:p>
    <w:p>
      <w:pPr>
        <w:pStyle w:val="ListBullet"/>
        <w:widowControl/>
      </w:pPr>
      <w:r>
        <w:rPr>
          <w:rFonts w:ascii="Calibri" w:hAnsi="Calibri"/>
          <w:color w:val="33373B"/>
        </w:rPr>
        <w:t>How supervisors can identify the one worker whose risk is different from the rest of the crew.</w:t>
      </w:r>
    </w:p>
    <w:p>
      <w:pPr>
        <w:pStyle w:val="ListBullet"/>
        <w:widowControl/>
      </w:pPr>
      <w:r>
        <w:rPr>
          <w:rFonts w:ascii="Calibri" w:hAnsi="Calibri"/>
          <w:color w:val="33373B"/>
        </w:rPr>
        <w:t>When cooling, oral fluids, medical direction, clinic evaluation, or EMS escalation are appropriate.</w:t>
      </w:r>
    </w:p>
    <w:p>
      <w:pPr>
        <w:pStyle w:val="ListBullet"/>
        <w:widowControl/>
      </w:pPr>
      <w:r>
        <w:rPr>
          <w:rFonts w:ascii="Calibri" w:hAnsi="Calibri"/>
          <w:color w:val="33373B"/>
        </w:rPr>
        <w:t>What executives should require before, during, and after the next high-heat shift.</w:t>
      </w:r>
    </w:p>
    <w:p>
      <w:pPr>
        <w:spacing w:before="360" w:after="40"/>
        <w:jc w:val="center"/>
      </w:pPr>
      <w:r>
        <w:rPr>
          <w:rFonts w:ascii="Calibri" w:hAnsi="Calibri"/>
          <w:b/>
          <w:color w:val="112A46"/>
          <w:sz w:val="22"/>
        </w:rPr>
        <w:t>July 2026</w:t>
      </w:r>
    </w:p>
    <w:p>
      <w:pPr>
        <w:jc w:val="center"/>
      </w:pPr>
      <w:r>
        <w:rPr>
          <w:rFonts w:ascii="Calibri" w:hAnsi="Calibri"/>
          <w:color w:val="5A6066"/>
          <w:sz w:val="19"/>
        </w:rPr>
        <w:t>Prepared for industrial employers and safety leaders</w:t>
      </w:r>
    </w:p>
    <w:p>
      <w:r>
        <w:br w:type="page"/>
      </w:r>
    </w:p>
    <w:p>
      <w:pPr>
        <w:pStyle w:val="Heading1"/>
        <w:keepNext/>
        <w:pageBreakBefore w:val="0"/>
      </w:pPr>
      <w:r>
        <w:rPr>
          <w:rFonts w:ascii="Calibri" w:hAnsi="Calibri"/>
          <w:b/>
          <w:color w:val="112A46"/>
        </w:rPr>
        <w:t>Executive Summary</w:t>
      </w:r>
    </w:p>
    <w:p>
      <w:pPr>
        <w:widowControl/>
      </w:pPr>
      <w:r>
        <w:rPr>
          <w:rFonts w:ascii="Calibri" w:hAnsi="Calibri"/>
          <w:color w:val="33373B"/>
        </w:rPr>
        <w:t>Heat illness prevention has traditionally been framed around shade, water, rest, electrolytes, acclimatization, and awareness. Those controls still matter. They are also incomplete when used as the whole program. Industrial employers need a system that identifies heat risk before symptoms develop and supports medically appropriate decisions once symptoms appear.</w:t>
      </w:r>
    </w:p>
    <w:p>
      <w:pPr>
        <w:widowControl/>
      </w:pPr>
      <w:r>
        <w:rPr>
          <w:rFonts w:ascii="Calibri" w:hAnsi="Calibri"/>
          <w:color w:val="33373B"/>
        </w:rPr>
        <w:t>Predictive Thermal Management is Industrial MD's operating model for that problem. It combines physiological literacy, pre-shift observation, environmental measurement, worker risk awareness, structured field triage, active cooling, medical direction, documentation, and return-to-work support. The goal is not to turn supervisors into clinicians. The goal is to give supervisors a simple field process and immediate occupational medical backup when the facts become clinical.</w:t>
      </w:r>
    </w:p>
    <w:p>
      <w:pPr>
        <w:widowControl/>
      </w:pPr>
      <w:r>
        <w:rPr>
          <w:rFonts w:ascii="Calibri" w:hAnsi="Calibri"/>
          <w:color w:val="33373B"/>
        </w:rPr>
        <w:t>The distinction matters because prevention and response are different decision systems. Prevention keeps a worker from crossing a dangerous physiological threshold. Response determines what must happen when that threshold may already have been crossed. A mature heat program must do both.</w:t>
      </w:r>
    </w:p>
    <w:p>
      <w:pPr>
        <w:pStyle w:val="ListBullet"/>
        <w:widowControl/>
      </w:pPr>
      <w:r>
        <w:rPr>
          <w:rFonts w:ascii="Calibri" w:hAnsi="Calibri"/>
          <w:color w:val="33373B"/>
        </w:rPr>
        <w:t>Treat heat as a clinical and operational risk, not just weather.</w:t>
      </w:r>
    </w:p>
    <w:p>
      <w:pPr>
        <w:pStyle w:val="ListBullet"/>
        <w:widowControl/>
      </w:pPr>
      <w:r>
        <w:rPr>
          <w:rFonts w:ascii="Calibri" w:hAnsi="Calibri"/>
          <w:color w:val="33373B"/>
        </w:rPr>
        <w:t>Use WBGT, work intensity, PPE, acclimatization, and worker-specific risk to set controls.</w:t>
      </w:r>
    </w:p>
    <w:p>
      <w:pPr>
        <w:pStyle w:val="ListBullet"/>
        <w:widowControl/>
      </w:pPr>
      <w:r>
        <w:rPr>
          <w:rFonts w:ascii="Calibri" w:hAnsi="Calibri"/>
          <w:color w:val="33373B"/>
        </w:rPr>
        <w:t>Train supervisors to notice behavioral and functional change before collapse.</w:t>
      </w:r>
    </w:p>
    <w:p>
      <w:pPr>
        <w:pStyle w:val="ListBullet"/>
        <w:widowControl/>
      </w:pPr>
      <w:r>
        <w:rPr>
          <w:rFonts w:ascii="Calibri" w:hAnsi="Calibri"/>
          <w:color w:val="33373B"/>
        </w:rPr>
        <w:t>Escalate immediately for red flags while cooling begins within training and policy.</w:t>
      </w:r>
    </w:p>
    <w:p>
      <w:pPr>
        <w:pStyle w:val="ListBullet"/>
        <w:widowControl/>
      </w:pPr>
      <w:r>
        <w:rPr>
          <w:rFonts w:ascii="Calibri" w:hAnsi="Calibri"/>
          <w:color w:val="33373B"/>
        </w:rPr>
        <w:t>Use medical direction to convert field facts into consistent decisions.</w:t>
      </w:r>
    </w:p>
    <w:p>
      <w:pPr>
        <w:spacing w:after="40"/>
      </w:pPr>
    </w:p>
    <w:tbl>
      <w:tblGrid>
        <w:gridCol w:w="9360"/>
      </w:tblGrid>
      <w:tblPr>
        <w:tblW w:type="dxa" w:w="9360"/>
        <w:tblLayout w:type="fixed"/>
        <w:tblLook w:firstColumn="1" w:firstRow="1" w:lastColumn="0" w:lastRow="0" w:noHBand="0" w:noVBand="1" w:val="04A0"/>
        <w:tblInd w:type="dxa" w:w="120"/>
        <w:tblBorders>
          <w:top w:val="single" w:sz="4" w:space="0" w:color="C8A046"/>
          <w:left w:val="single" w:sz="4" w:space="0" w:color="C8A046"/>
          <w:bottom w:val="single" w:sz="4" w:space="0" w:color="C8A046"/>
          <w:right w:val="single" w:sz="4" w:space="0" w:color="C8A046"/>
          <w:insideH w:val="single" w:sz="4" w:space="0" w:color="C8A046"/>
          <w:insideV w:val="single" w:sz="4" w:space="0" w:color="C8A046"/>
        </w:tblBorders>
        <w:tblCellMar>
          <w:top w:w="100" w:type="dxa"/>
          <w:bottom w:w="100" w:type="dxa"/>
          <w:start w:w="140" w:type="dxa"/>
          <w:end w:w="140" w:type="dxa"/>
        </w:tblCellMar>
      </w:tblPr>
      <w:tr>
        <w:trPr>
          <w:tblHeader/>
          <w:cantSplit/>
        </w:trPr>
        <w:tc>
          <w:tcPr>
            <w:tcW w:type="dxa" w:w="9360"/>
            <w:shd w:fill="FFF8E6"/>
            <w:vAlign w:val="center"/>
          </w:tcPr>
          <w:p>
            <w:pPr>
              <w:keepLines/>
              <w:spacing w:after="80"/>
            </w:pPr>
            <w:r/>
            <w:r>
              <w:rPr>
                <w:rFonts w:ascii="Calibri" w:hAnsi="Calibri"/>
                <w:b/>
                <w:color w:val="C8A046"/>
                <w:sz w:val="21"/>
              </w:rPr>
              <w:t>Executive Thesis</w:t>
            </w:r>
          </w:p>
          <w:p>
            <w:pPr>
              <w:keepLines/>
              <w:spacing w:after="40" w:line="269" w:lineRule="auto"/>
            </w:pPr>
            <w:r>
              <w:rPr>
                <w:rFonts w:ascii="Calibri" w:hAnsi="Calibri"/>
                <w:color w:val="33373B"/>
                <w:sz w:val="21"/>
              </w:rPr>
              <w:t>Summer heat will create risk. The leadership question is whether the company has a repeatable operating system before the next worker becomes symptomatic.</w:t>
            </w:r>
          </w:p>
        </w:tc>
      </w:tr>
    </w:tbl>
    <w:p>
      <w:pPr>
        <w:spacing w:after="120"/>
      </w:pPr>
    </w:p>
    <w:p>
      <w:pPr>
        <w:pStyle w:val="Heading1"/>
        <w:keepNext/>
        <w:pageBreakBefore/>
      </w:pPr>
      <w:r>
        <w:rPr>
          <w:rFonts w:ascii="Calibri" w:hAnsi="Calibri"/>
          <w:b/>
          <w:color w:val="112A46"/>
        </w:rPr>
        <w:t>Why Heat Has Become an Executive Risk</w:t>
      </w:r>
    </w:p>
    <w:p>
      <w:pPr>
        <w:widowControl/>
      </w:pPr>
      <w:r>
        <w:rPr>
          <w:rFonts w:ascii="Calibri" w:hAnsi="Calibri"/>
          <w:color w:val="33373B"/>
        </w:rPr>
        <w:t>OSHA, NIOSH, and BLS data all point to the same practical conclusion: occupational heat exposure should not be treated as a background condition managed by seasonal reminders alone. OSHA's heat program materials identify heavy physical work, radiant heat, lack of acclimatization, and clothing or PPE that holds heat as major contributors to heat stress. OSHA also states that WBGT is the most accurate way to measure environmental heat impact when compared with air temperature alone.</w:t>
      </w:r>
    </w:p>
    <w:p>
      <w:pPr>
        <w:widowControl/>
      </w:pPr>
      <w:r>
        <w:rPr>
          <w:rFonts w:ascii="Calibri" w:hAnsi="Calibri"/>
          <w:color w:val="33373B"/>
        </w:rPr>
        <w:t>As of July 2026, OSHA's national heat rule remains in the rulemaking process. The proposed heat standard was published in the Federal Register on August 30, 2024; hearings ended on July 2, 2025; and the post-hearing comment period ended on October 30, 2025. OSHA also updated its heat National Emphasis Program on April 10, 2026, directing inspection priorities toward high-risk industries and heat-focused inspections on days with heat advisories or warnings.</w:t>
      </w:r>
    </w:p>
    <w:p>
      <w:pPr>
        <w:widowControl/>
      </w:pPr>
      <w:r>
        <w:rPr>
          <w:rFonts w:ascii="Calibri" w:hAnsi="Calibri"/>
          <w:color w:val="33373B"/>
        </w:rPr>
        <w:t>Several state plans already have heat-related standards or requirements. Multi-state employers should verify current state-plan obligations and align field triggers, documentation, and acclimatization practices with federal guidance, state requirements, customer expectations, and internal policy.</w:t>
      </w:r>
    </w:p>
    <w:p>
      <w:pPr>
        <w:widowControl/>
      </w:pPr>
      <w:r>
        <w:rPr>
          <w:rFonts w:ascii="Calibri" w:hAnsi="Calibri"/>
          <w:color w:val="33373B"/>
        </w:rPr>
        <w:t>For an industrial employer, the executive exposure is broader than the medical bill. A heat event can generate emergency response, clinic or emergency department cost, lost production, supervisor time, investigation, temporary replacement labor, return-to-work uncertainty, claims handling, OSHA recordkeeping review, and trust issues inside the crew. Heat can also be hidden inside other incident categories: falls, slips, struck-by events, equipment mistakes, cardiovascular complaints, or general fatigue.</w:t>
      </w:r>
    </w:p>
    <w:p>
      <w:pPr>
        <w:widowControl/>
      </w:pPr>
      <w:r>
        <w:rPr>
          <w:rFonts w:ascii="Calibri" w:hAnsi="Calibri"/>
          <w:color w:val="33373B"/>
        </w:rPr>
        <w:t>That is why heat prevention belongs in the same executive category as lockout/tagout, fall protection, confined space, and serious injury prevention. It is a predictable hazard with known controls, known high-risk windows, and serious consequences when the response is late.</w:t>
      </w:r>
    </w:p>
    <w:p>
      <w:pPr>
        <w:pStyle w:val="Heading1"/>
        <w:keepNext/>
        <w:pageBreakBefore w:val="0"/>
      </w:pPr>
      <w:r>
        <w:rPr>
          <w:rFonts w:ascii="Calibri" w:hAnsi="Calibri"/>
          <w:b/>
          <w:color w:val="112A46"/>
        </w:rPr>
        <w:t>The Clinical Reality: Heat Is Not Just Hydration</w:t>
      </w:r>
    </w:p>
    <w:p>
      <w:pPr>
        <w:widowControl/>
      </w:pPr>
      <w:r>
        <w:rPr>
          <w:rFonts w:ascii="Calibri" w:hAnsi="Calibri"/>
          <w:color w:val="33373B"/>
        </w:rPr>
        <w:t>A weak heat program treats the body as a container that simply needs more fluid. A stronger program treats the worker as a heat-producing system operating inside a changing environment. During physical labor, muscles generate metabolic heat. Sun, concrete, asphalt, steel, poor airflow, enclosed work, and hot equipment add external heat. The body must release that heat through sweating, evaporation, blood flow to the skin, and reduced exertion.</w:t>
      </w:r>
    </w:p>
    <w:p>
      <w:pPr>
        <w:widowControl/>
      </w:pPr>
      <w:r>
        <w:rPr>
          <w:rFonts w:ascii="Calibri" w:hAnsi="Calibri"/>
          <w:color w:val="33373B"/>
        </w:rPr>
        <w:t>Those mechanisms can fail. Humidity limits evaporation. Heavy clothing and PPE trap sweat and restrict airflow. Radiant surfaces increase the heat load beyond the weather app reading. Poor acclimatization, illness, poor sleep, alcohol use, skipped meals, dehydration, chronic disease, and certain medications reduce the worker's safety margin before the shift starts.</w:t>
      </w:r>
    </w:p>
    <w:p>
      <w:pPr>
        <w:widowControl/>
      </w:pPr>
      <w:r>
        <w:rPr>
          <w:rFonts w:ascii="Calibri" w:hAnsi="Calibri"/>
          <w:color w:val="33373B"/>
        </w:rPr>
        <w:t>That is the core of the one-worker principle: ten workers can stand in the same ditch, on the same slab, under the same sun, and only one may collapse. The difference is often hidden physiology, not visible effort. Generic heat controls are necessary, but they do not account for the worker whose cardiovascular response is blunted by medication, whose blood sugar is unstable, whose stomach is already failing, or whose body has not acclimatized after time away.</w:t>
      </w:r>
    </w:p>
    <w:p>
      <w:pPr>
        <w:widowControl/>
      </w:pPr>
      <w:r>
        <w:rPr>
          <w:rFonts w:ascii="Calibri" w:hAnsi="Calibri"/>
          <w:color w:val="33373B"/>
        </w:rPr>
        <w:t>The operational implication is simple. Supervisors should not wait for a dramatic collapse. Slower movement, irritability, withdrawal, unsteady gait, fumbling, headache, cramps, nausea, unusual fatigue, delayed responses, or a blank stare during a morning huddle can be early safety data. The first meaningful intervention may happen during stretch-and-flex, not in the ambulance bay.</w:t>
      </w:r>
    </w:p>
    <w:p>
      <w:pPr>
        <w:pStyle w:val="Heading2"/>
        <w:keepNext/>
        <w:pageBreakBefore w:val="0"/>
      </w:pPr>
      <w:r>
        <w:rPr>
          <w:rFonts w:ascii="Calibri" w:hAnsi="Calibri"/>
          <w:b/>
          <w:color w:val="112A46"/>
        </w:rPr>
        <w:t>Heat Illness Types: A Supervisor Reference</w:t>
      </w:r>
    </w:p>
    <w:p>
      <w:pPr>
        <w:widowControl/>
      </w:pPr>
      <w:r>
        <w:rPr>
          <w:rFonts w:ascii="Calibri" w:hAnsi="Calibri"/>
          <w:color w:val="33373B"/>
        </w:rPr>
        <w:t>Supervisors do not need to diagnose heat illness, but they should recognize when symptoms may be moving beyond routine fatigue. The table below is a planning reference, not a substitute for medical evaluation or emergency care.</w:t>
      </w:r>
    </w:p>
    <w:tbl>
      <w:tblGrid>
        <w:gridCol w:w="2200"/>
        <w:gridCol w:w="3580"/>
        <w:gridCol w:w="3580"/>
      </w:tblGrid>
      <w:tblPr>
        <w:tblStyle w:val="TableGrid"/>
        <w:tblW w:type="dxa" w:w="9360"/>
        <w:tblLayout w:type="fixed"/>
        <w:tblLook w:firstColumn="1" w:firstRow="1" w:lastColumn="0" w:lastRow="0" w:noHBand="0" w:noVBand="1" w:val="04A0"/>
        <w:tblInd w:type="dxa" w:w="120"/>
        <w:tblBorders>
          <w:top w:val="single" w:sz="4" w:space="0" w:color="D9DEE6"/>
          <w:left w:val="single" w:sz="4" w:space="0" w:color="D9DEE6"/>
          <w:bottom w:val="single" w:sz="4" w:space="0" w:color="D9DEE6"/>
          <w:right w:val="single" w:sz="4" w:space="0" w:color="D9DEE6"/>
          <w:insideH w:val="single" w:sz="4" w:space="0" w:color="D9DEE6"/>
          <w:insideV w:val="single" w:sz="4" w:space="0" w:color="D9DEE6"/>
        </w:tblBorders>
        <w:tblCellMar>
          <w:top w:w="100" w:type="dxa"/>
          <w:bottom w:w="100" w:type="dxa"/>
          <w:start w:w="140" w:type="dxa"/>
          <w:end w:w="140" w:type="dxa"/>
        </w:tblCellMar>
      </w:tblPr>
      <w:tr>
        <w:trPr>
          <w:tblHeader/>
          <w:cantSplit/>
        </w:trPr>
        <w:tc>
          <w:tcPr>
            <w:tcW w:type="dxa" w:w="2200"/>
            <w:shd w:fill="F2F4F7"/>
            <w:vAlign w:val="center"/>
          </w:tcPr>
          <w:p>
            <w:pPr>
              <w:keepLines/>
              <w:spacing w:before="0" w:after="40" w:line="259" w:lineRule="auto"/>
            </w:pPr>
            <w:r>
              <w:rPr>
                <w:rFonts w:ascii="Calibri" w:hAnsi="Calibri"/>
                <w:b/>
                <w:color w:val="112A46"/>
                <w:sz w:val="19"/>
              </w:rPr>
              <w:t>Condition</w:t>
            </w:r>
          </w:p>
        </w:tc>
        <w:tc>
          <w:tcPr>
            <w:tcW w:type="dxa" w:w="3580"/>
            <w:shd w:fill="F2F4F7"/>
            <w:vAlign w:val="center"/>
          </w:tcPr>
          <w:p>
            <w:pPr>
              <w:keepLines/>
              <w:spacing w:before="0" w:after="40" w:line="259" w:lineRule="auto"/>
            </w:pPr>
            <w:r>
              <w:rPr>
                <w:rFonts w:ascii="Calibri" w:hAnsi="Calibri"/>
                <w:b/>
                <w:color w:val="112A46"/>
                <w:sz w:val="19"/>
              </w:rPr>
              <w:t>Typical signs</w:t>
            </w:r>
          </w:p>
        </w:tc>
        <w:tc>
          <w:tcPr>
            <w:tcW w:type="dxa" w:w="3580"/>
            <w:shd w:fill="F2F4F7"/>
            <w:vAlign w:val="center"/>
          </w:tcPr>
          <w:p>
            <w:pPr>
              <w:keepLines/>
              <w:spacing w:before="0" w:after="40" w:line="259" w:lineRule="auto"/>
            </w:pPr>
            <w:r>
              <w:rPr>
                <w:rFonts w:ascii="Calibri" w:hAnsi="Calibri"/>
                <w:b/>
                <w:color w:val="112A46"/>
                <w:sz w:val="19"/>
              </w:rPr>
              <w:t>Field response</w:t>
            </w:r>
          </w:p>
        </w:tc>
      </w:tr>
      <w:tr>
        <w:trPr>
          <w:cantSplit/>
        </w:trPr>
        <w:tc>
          <w:tcPr>
            <w:tcW w:type="dxa" w:w="2200"/>
            <w:vAlign w:val="center"/>
          </w:tcPr>
          <w:p>
            <w:pPr>
              <w:keepLines/>
              <w:spacing w:before="0" w:after="40" w:line="259" w:lineRule="auto"/>
            </w:pPr>
            <w:r>
              <w:rPr>
                <w:rFonts w:ascii="Calibri" w:hAnsi="Calibri"/>
                <w:b w:val="0"/>
                <w:color w:val="33373B"/>
                <w:sz w:val="19"/>
              </w:rPr>
              <w:t>Heat cramps</w:t>
            </w:r>
          </w:p>
        </w:tc>
        <w:tc>
          <w:tcPr>
            <w:tcW w:type="dxa" w:w="3580"/>
            <w:vAlign w:val="center"/>
          </w:tcPr>
          <w:p>
            <w:pPr>
              <w:keepLines/>
              <w:spacing w:before="0" w:after="40" w:line="259" w:lineRule="auto"/>
            </w:pPr>
            <w:r>
              <w:rPr>
                <w:rFonts w:ascii="Calibri" w:hAnsi="Calibri"/>
                <w:b w:val="0"/>
                <w:color w:val="33373B"/>
                <w:sz w:val="19"/>
              </w:rPr>
              <w:t>Painful muscle cramps, heavy sweating, alert worker.</w:t>
            </w:r>
          </w:p>
        </w:tc>
        <w:tc>
          <w:tcPr>
            <w:tcW w:type="dxa" w:w="3580"/>
            <w:vAlign w:val="center"/>
          </w:tcPr>
          <w:p>
            <w:pPr>
              <w:keepLines/>
              <w:spacing w:before="0" w:after="40" w:line="259" w:lineRule="auto"/>
            </w:pPr>
            <w:r>
              <w:rPr>
                <w:rFonts w:ascii="Calibri" w:hAnsi="Calibri"/>
                <w:b w:val="0"/>
                <w:color w:val="33373B"/>
                <w:sz w:val="19"/>
              </w:rPr>
              <w:t>Remove from heat, cool, rest, and offer measured fluids if the Gastric Gate allows.</w:t>
            </w:r>
          </w:p>
        </w:tc>
      </w:tr>
      <w:tr>
        <w:trPr>
          <w:cantSplit/>
        </w:trPr>
        <w:tc>
          <w:tcPr>
            <w:tcW w:type="dxa" w:w="2200"/>
            <w:vAlign w:val="center"/>
          </w:tcPr>
          <w:p>
            <w:pPr>
              <w:keepLines/>
              <w:spacing w:before="0" w:after="40" w:line="259" w:lineRule="auto"/>
            </w:pPr>
            <w:r>
              <w:rPr>
                <w:rFonts w:ascii="Calibri" w:hAnsi="Calibri"/>
                <w:b w:val="0"/>
                <w:color w:val="33373B"/>
                <w:sz w:val="19"/>
              </w:rPr>
              <w:t>Heat exhaustion</w:t>
            </w:r>
          </w:p>
        </w:tc>
        <w:tc>
          <w:tcPr>
            <w:tcW w:type="dxa" w:w="3580"/>
            <w:vAlign w:val="center"/>
          </w:tcPr>
          <w:p>
            <w:pPr>
              <w:keepLines/>
              <w:spacing w:before="0" w:after="40" w:line="259" w:lineRule="auto"/>
            </w:pPr>
            <w:r>
              <w:rPr>
                <w:rFonts w:ascii="Calibri" w:hAnsi="Calibri"/>
                <w:b w:val="0"/>
                <w:color w:val="33373B"/>
                <w:sz w:val="19"/>
              </w:rPr>
              <w:t>Heavy sweating, weakness, nausea, headache, dizziness, irritability.</w:t>
            </w:r>
          </w:p>
        </w:tc>
        <w:tc>
          <w:tcPr>
            <w:tcW w:type="dxa" w:w="3580"/>
            <w:vAlign w:val="center"/>
          </w:tcPr>
          <w:p>
            <w:pPr>
              <w:keepLines/>
              <w:spacing w:before="0" w:after="40" w:line="259" w:lineRule="auto"/>
            </w:pPr>
            <w:r>
              <w:rPr>
                <w:rFonts w:ascii="Calibri" w:hAnsi="Calibri"/>
                <w:b w:val="0"/>
                <w:color w:val="33373B"/>
                <w:sz w:val="19"/>
              </w:rPr>
              <w:t>Remove from heat, active cooling, observation, and medical direction when appropriate.</w:t>
            </w:r>
          </w:p>
        </w:tc>
      </w:tr>
      <w:tr>
        <w:trPr>
          <w:cantSplit/>
        </w:trPr>
        <w:tc>
          <w:tcPr>
            <w:tcW w:type="dxa" w:w="2200"/>
            <w:vAlign w:val="center"/>
          </w:tcPr>
          <w:p>
            <w:pPr>
              <w:keepLines/>
              <w:spacing w:before="0" w:after="40" w:line="259" w:lineRule="auto"/>
            </w:pPr>
            <w:r>
              <w:rPr>
                <w:rFonts w:ascii="Calibri" w:hAnsi="Calibri"/>
                <w:b w:val="0"/>
                <w:color w:val="33373B"/>
                <w:sz w:val="19"/>
              </w:rPr>
              <w:t>Heat stroke / exertional heat stroke</w:t>
            </w:r>
          </w:p>
        </w:tc>
        <w:tc>
          <w:tcPr>
            <w:tcW w:type="dxa" w:w="3580"/>
            <w:vAlign w:val="center"/>
          </w:tcPr>
          <w:p>
            <w:pPr>
              <w:keepLines/>
              <w:spacing w:before="0" w:after="40" w:line="259" w:lineRule="auto"/>
            </w:pPr>
            <w:r>
              <w:rPr>
                <w:rFonts w:ascii="Calibri" w:hAnsi="Calibri"/>
                <w:b w:val="0"/>
                <w:color w:val="33373B"/>
                <w:sz w:val="19"/>
              </w:rPr>
              <w:t>Altered mental status, collapse, seizure, hot or profuse sweating, rapid worsening.</w:t>
            </w:r>
          </w:p>
        </w:tc>
        <w:tc>
          <w:tcPr>
            <w:tcW w:type="dxa" w:w="3580"/>
            <w:vAlign w:val="center"/>
          </w:tcPr>
          <w:p>
            <w:pPr>
              <w:keepLines/>
              <w:spacing w:before="0" w:after="40" w:line="259" w:lineRule="auto"/>
            </w:pPr>
            <w:r>
              <w:rPr>
                <w:rFonts w:ascii="Calibri" w:hAnsi="Calibri"/>
                <w:b w:val="0"/>
                <w:color w:val="33373B"/>
                <w:sz w:val="19"/>
              </w:rPr>
              <w:t>Activate EMS immediately while beginning aggressive cooling within training and policy.</w:t>
            </w:r>
          </w:p>
        </w:tc>
      </w:tr>
    </w:tbl>
    <w:p>
      <w:pPr>
        <w:spacing w:after="120"/>
      </w:pPr>
    </w:p>
    <w:p>
      <w:pPr>
        <w:pStyle w:val="Heading1"/>
        <w:keepNext/>
        <w:pageBreakBefore w:val="0"/>
      </w:pPr>
      <w:r>
        <w:rPr>
          <w:rFonts w:ascii="Calibri" w:hAnsi="Calibri"/>
          <w:b/>
          <w:color w:val="112A46"/>
        </w:rPr>
        <w:t>Environmental Measurement and the PPE Burden</w:t>
      </w:r>
    </w:p>
    <w:p>
      <w:pPr>
        <w:widowControl/>
      </w:pPr>
      <w:r>
        <w:rPr>
          <w:rFonts w:ascii="Calibri" w:hAnsi="Calibri"/>
          <w:color w:val="33373B"/>
        </w:rPr>
        <w:t>Air temperature is not enough for industrial heat decisions. A weather app may describe the regional day, but it does not capture the worker's actual heat burden on a roof, slab, refinery unit, shipyard, laydown yard, enclosed mechanical space, or traffic-control assignment. Site heat is shaped by humidity, radiant heat, wind, surface temperature, airflow, clothing, PPE, task intensity, and duration.</w:t>
      </w:r>
    </w:p>
    <w:p>
      <w:pPr>
        <w:widowControl/>
      </w:pPr>
      <w:r>
        <w:rPr>
          <w:rFonts w:ascii="Calibri" w:hAnsi="Calibri"/>
          <w:color w:val="33373B"/>
        </w:rPr>
        <w:t>WBGT is useful because it brings more of those factors into the decision. It helps supervisors move from opinion to operating thresholds: when to increase rest, rotate crews, change the work sequence, stage cooling resources, or adjust expectations. It also helps explain why a day that looks manageable in the forecast may become high risk at ground level when concrete, steel, direct sun, and poor airflow are added.</w:t>
      </w:r>
    </w:p>
    <w:p>
      <w:pPr>
        <w:widowControl/>
      </w:pPr>
      <w:r>
        <w:rPr>
          <w:rFonts w:ascii="Calibri" w:hAnsi="Calibri"/>
          <w:color w:val="33373B"/>
        </w:rPr>
        <w:t>PPE is the multiplier that many heat plans underweight. Boots, FR clothing, high-visibility gear, respirators, chemical protection, gloves, face shields, and impermeable layers can reduce evaporative cooling and increase core heat storage. A worker in full gear may face a materially different physiological load than a worker in light clothing under the same reported temperature. That means work-rest decisions should account for the actual job, not only the forecast.</w:t>
      </w:r>
    </w:p>
    <w:p>
      <w:pPr>
        <w:widowControl/>
      </w:pPr>
      <w:r>
        <w:rPr>
          <w:rFonts w:ascii="Calibri" w:hAnsi="Calibri"/>
          <w:color w:val="33373B"/>
        </w:rPr>
        <w:t>Executives do not need every supervisor to become an industrial hygienist. They do need a policy that defines which heat metric the company uses, who checks it, when readings are taken, how PPE and work intensity change the trigger points, and who has authority to modify work when field conditions exceed the plan.</w:t>
      </w:r>
    </w:p>
    <w:p>
      <w:pPr>
        <w:pStyle w:val="Heading2"/>
        <w:keepNext/>
        <w:pageBreakBefore w:val="0"/>
      </w:pPr>
      <w:r>
        <w:rPr>
          <w:rFonts w:ascii="Calibri" w:hAnsi="Calibri"/>
          <w:b/>
          <w:color w:val="112A46"/>
        </w:rPr>
        <w:t>WBGT Action Levels: A Planning Lens</w:t>
      </w:r>
    </w:p>
    <w:p>
      <w:pPr>
        <w:widowControl/>
      </w:pPr>
      <w:r>
        <w:rPr>
          <w:rFonts w:ascii="Calibri" w:hAnsi="Calibri"/>
          <w:color w:val="33373B"/>
        </w:rPr>
        <w:t>Employers should set site-specific thresholds with qualified safety and medical input. The table below is a simplified planning lens for translating WBGT into field action, not a substitute for company policy, state requirements, or industrial hygiene assessment.</w:t>
      </w:r>
    </w:p>
    <w:tbl>
      <w:tblGrid>
        <w:gridCol w:w="3120"/>
        <w:gridCol w:w="6240"/>
      </w:tblGrid>
      <w:tblPr>
        <w:tblStyle w:val="TableGrid"/>
        <w:tblW w:type="dxa" w:w="9360"/>
        <w:tblLayout w:type="fixed"/>
        <w:tblLook w:firstColumn="1" w:firstRow="1" w:lastColumn="0" w:lastRow="0" w:noHBand="0" w:noVBand="1" w:val="04A0"/>
        <w:tblInd w:type="dxa" w:w="120"/>
        <w:tblBorders>
          <w:top w:val="single" w:sz="4" w:space="0" w:color="D9DEE6"/>
          <w:left w:val="single" w:sz="4" w:space="0" w:color="D9DEE6"/>
          <w:bottom w:val="single" w:sz="4" w:space="0" w:color="D9DEE6"/>
          <w:right w:val="single" w:sz="4" w:space="0" w:color="D9DEE6"/>
          <w:insideH w:val="single" w:sz="4" w:space="0" w:color="D9DEE6"/>
          <w:insideV w:val="single" w:sz="4" w:space="0" w:color="D9DEE6"/>
        </w:tblBorders>
        <w:tblCellMar>
          <w:top w:w="100" w:type="dxa"/>
          <w:bottom w:w="100" w:type="dxa"/>
          <w:start w:w="140" w:type="dxa"/>
          <w:end w:w="140" w:type="dxa"/>
        </w:tblCellMar>
      </w:tblPr>
      <w:tr>
        <w:trPr>
          <w:tblHeader/>
          <w:cantSplit/>
        </w:trPr>
        <w:tc>
          <w:tcPr>
            <w:tcW w:type="dxa" w:w="3120"/>
            <w:shd w:fill="F2F4F7"/>
            <w:vAlign w:val="center"/>
          </w:tcPr>
          <w:p>
            <w:pPr>
              <w:keepLines/>
              <w:spacing w:before="0" w:after="40" w:line="259" w:lineRule="auto"/>
            </w:pPr>
            <w:r>
              <w:rPr>
                <w:rFonts w:ascii="Calibri" w:hAnsi="Calibri"/>
                <w:b/>
                <w:color w:val="112A46"/>
                <w:sz w:val="19"/>
              </w:rPr>
              <w:t>WBGT range (planning lens)</w:t>
            </w:r>
          </w:p>
        </w:tc>
        <w:tc>
          <w:tcPr>
            <w:tcW w:type="dxa" w:w="6240"/>
            <w:shd w:fill="F2F4F7"/>
            <w:vAlign w:val="center"/>
          </w:tcPr>
          <w:p>
            <w:pPr>
              <w:keepLines/>
              <w:spacing w:before="0" w:after="40" w:line="259" w:lineRule="auto"/>
            </w:pPr>
            <w:r>
              <w:rPr>
                <w:rFonts w:ascii="Calibri" w:hAnsi="Calibri"/>
                <w:b/>
                <w:color w:val="112A46"/>
                <w:sz w:val="19"/>
              </w:rPr>
              <w:t>Typical field action</w:t>
            </w:r>
          </w:p>
        </w:tc>
      </w:tr>
      <w:tr>
        <w:trPr>
          <w:cantSplit/>
        </w:trPr>
        <w:tc>
          <w:tcPr>
            <w:tcW w:type="dxa" w:w="3120"/>
            <w:vAlign w:val="center"/>
          </w:tcPr>
          <w:p>
            <w:pPr>
              <w:keepLines/>
              <w:spacing w:before="0" w:after="40" w:line="259" w:lineRule="auto"/>
            </w:pPr>
            <w:r>
              <w:rPr>
                <w:rFonts w:ascii="Calibri" w:hAnsi="Calibri"/>
                <w:b w:val="0"/>
                <w:color w:val="33373B"/>
                <w:sz w:val="19"/>
              </w:rPr>
              <w:t>Moderate</w:t>
            </w:r>
          </w:p>
        </w:tc>
        <w:tc>
          <w:tcPr>
            <w:tcW w:type="dxa" w:w="6240"/>
            <w:vAlign w:val="center"/>
          </w:tcPr>
          <w:p>
            <w:pPr>
              <w:keepLines/>
              <w:spacing w:before="0" w:after="40" w:line="259" w:lineRule="auto"/>
            </w:pPr>
            <w:r>
              <w:rPr>
                <w:rFonts w:ascii="Calibri" w:hAnsi="Calibri"/>
                <w:b w:val="0"/>
                <w:color w:val="33373B"/>
                <w:sz w:val="19"/>
              </w:rPr>
              <w:t>Increase hydration access, rest, and supervisor observation; confirm acclimatization status.</w:t>
            </w:r>
          </w:p>
        </w:tc>
      </w:tr>
      <w:tr>
        <w:trPr>
          <w:cantSplit/>
        </w:trPr>
        <w:tc>
          <w:tcPr>
            <w:tcW w:type="dxa" w:w="3120"/>
            <w:vAlign w:val="center"/>
          </w:tcPr>
          <w:p>
            <w:pPr>
              <w:keepLines/>
              <w:spacing w:before="0" w:after="40" w:line="259" w:lineRule="auto"/>
            </w:pPr>
            <w:r>
              <w:rPr>
                <w:rFonts w:ascii="Calibri" w:hAnsi="Calibri"/>
                <w:b w:val="0"/>
                <w:color w:val="33373B"/>
                <w:sz w:val="19"/>
              </w:rPr>
              <w:t>High</w:t>
            </w:r>
          </w:p>
        </w:tc>
        <w:tc>
          <w:tcPr>
            <w:tcW w:type="dxa" w:w="6240"/>
            <w:vAlign w:val="center"/>
          </w:tcPr>
          <w:p>
            <w:pPr>
              <w:keepLines/>
              <w:spacing w:before="0" w:after="40" w:line="259" w:lineRule="auto"/>
            </w:pPr>
            <w:r>
              <w:rPr>
                <w:rFonts w:ascii="Calibri" w:hAnsi="Calibri"/>
                <w:b w:val="0"/>
                <w:color w:val="33373B"/>
                <w:sz w:val="19"/>
              </w:rPr>
              <w:t>Use work-rest cycles, rotate crews, stage cooling resources, and review PPE burden.</w:t>
            </w:r>
          </w:p>
        </w:tc>
      </w:tr>
      <w:tr>
        <w:trPr>
          <w:cantSplit/>
        </w:trPr>
        <w:tc>
          <w:tcPr>
            <w:tcW w:type="dxa" w:w="3120"/>
            <w:vAlign w:val="center"/>
          </w:tcPr>
          <w:p>
            <w:pPr>
              <w:keepLines/>
              <w:spacing w:before="0" w:after="40" w:line="259" w:lineRule="auto"/>
            </w:pPr>
            <w:r>
              <w:rPr>
                <w:rFonts w:ascii="Calibri" w:hAnsi="Calibri"/>
                <w:b w:val="0"/>
                <w:color w:val="33373B"/>
                <w:sz w:val="19"/>
              </w:rPr>
              <w:t>Very high</w:t>
            </w:r>
          </w:p>
        </w:tc>
        <w:tc>
          <w:tcPr>
            <w:tcW w:type="dxa" w:w="6240"/>
            <w:vAlign w:val="center"/>
          </w:tcPr>
          <w:p>
            <w:pPr>
              <w:keepLines/>
              <w:spacing w:before="0" w:after="40" w:line="259" w:lineRule="auto"/>
            </w:pPr>
            <w:r>
              <w:rPr>
                <w:rFonts w:ascii="Calibri" w:hAnsi="Calibri"/>
                <w:b w:val="0"/>
                <w:color w:val="33373B"/>
                <w:sz w:val="19"/>
              </w:rPr>
              <w:t>Modify tasks, reduce exertion, increase medical readiness, and consider stopping high-burden work.</w:t>
            </w:r>
          </w:p>
        </w:tc>
      </w:tr>
    </w:tbl>
    <w:p>
      <w:pPr>
        <w:spacing w:after="120"/>
      </w:pPr>
    </w:p>
    <w:p>
      <w:pPr>
        <w:pStyle w:val="Heading1"/>
        <w:keepNext/>
        <w:pageBreakBefore w:val="0"/>
      </w:pPr>
      <w:r>
        <w:rPr>
          <w:rFonts w:ascii="Calibri" w:hAnsi="Calibri"/>
          <w:b/>
          <w:color w:val="112A46"/>
        </w:rPr>
        <w:t>Predictive Thermal Management: The Dual System</w:t>
      </w:r>
    </w:p>
    <w:p>
      <w:pPr>
        <w:widowControl/>
      </w:pPr>
      <w:r>
        <w:rPr>
          <w:rFonts w:ascii="Calibri" w:hAnsi="Calibri"/>
          <w:color w:val="33373B"/>
        </w:rPr>
        <w:t>Predictive Thermal Management separates heat management into two linked systems: prevention before symptoms and response after symptoms. The model is deliberately practical. It is built for supervisors, safety teams, and operations leaders who must make decisions in real time while production pressure is still present.</w:t>
      </w:r>
    </w:p>
    <w:tbl>
      <w:tblGrid>
        <w:gridCol w:w="1400"/>
        <w:gridCol w:w="2700"/>
        <w:gridCol w:w="2700"/>
        <w:gridCol w:w="2560"/>
      </w:tblGrid>
      <w:tblPr>
        <w:tblStyle w:val="TableGrid"/>
        <w:tblW w:type="dxa" w:w="9360"/>
        <w:tblLayout w:type="fixed"/>
        <w:tblLook w:firstColumn="1" w:firstRow="1" w:lastColumn="0" w:lastRow="0" w:noHBand="0" w:noVBand="1" w:val="04A0"/>
        <w:tblInd w:type="dxa" w:w="120"/>
        <w:tblBorders>
          <w:top w:val="single" w:sz="4" w:space="0" w:color="D9DEE6"/>
          <w:left w:val="single" w:sz="4" w:space="0" w:color="D9DEE6"/>
          <w:bottom w:val="single" w:sz="4" w:space="0" w:color="D9DEE6"/>
          <w:right w:val="single" w:sz="4" w:space="0" w:color="D9DEE6"/>
          <w:insideH w:val="single" w:sz="4" w:space="0" w:color="D9DEE6"/>
          <w:insideV w:val="single" w:sz="4" w:space="0" w:color="D9DEE6"/>
        </w:tblBorders>
        <w:tblCellMar>
          <w:top w:w="100" w:type="dxa"/>
          <w:bottom w:w="100" w:type="dxa"/>
          <w:start w:w="140" w:type="dxa"/>
          <w:end w:w="140" w:type="dxa"/>
        </w:tblCellMar>
      </w:tblPr>
      <w:tr>
        <w:trPr>
          <w:tblHeader/>
          <w:cantSplit/>
        </w:trPr>
        <w:tc>
          <w:tcPr>
            <w:tcW w:type="dxa" w:w="1400"/>
            <w:shd w:fill="F2F4F7"/>
            <w:vAlign w:val="center"/>
          </w:tcPr>
          <w:p>
            <w:pPr>
              <w:keepLines/>
              <w:spacing w:before="0" w:after="40" w:line="259" w:lineRule="auto"/>
            </w:pPr>
            <w:r>
              <w:rPr>
                <w:rFonts w:ascii="Calibri" w:hAnsi="Calibri"/>
                <w:b/>
                <w:color w:val="112A46"/>
                <w:sz w:val="19"/>
              </w:rPr>
              <w:t>Layer</w:t>
            </w:r>
          </w:p>
        </w:tc>
        <w:tc>
          <w:tcPr>
            <w:tcW w:type="dxa" w:w="2700"/>
            <w:shd w:fill="F2F4F7"/>
            <w:vAlign w:val="center"/>
          </w:tcPr>
          <w:p>
            <w:pPr>
              <w:keepLines/>
              <w:spacing w:before="0" w:after="40" w:line="259" w:lineRule="auto"/>
            </w:pPr>
            <w:r>
              <w:rPr>
                <w:rFonts w:ascii="Calibri" w:hAnsi="Calibri"/>
                <w:b/>
                <w:color w:val="112A46"/>
                <w:sz w:val="19"/>
              </w:rPr>
              <w:t>Field action</w:t>
            </w:r>
          </w:p>
        </w:tc>
        <w:tc>
          <w:tcPr>
            <w:tcW w:type="dxa" w:w="2700"/>
            <w:shd w:fill="F2F4F7"/>
            <w:vAlign w:val="center"/>
          </w:tcPr>
          <w:p>
            <w:pPr>
              <w:keepLines/>
              <w:spacing w:before="0" w:after="40" w:line="259" w:lineRule="auto"/>
            </w:pPr>
            <w:r>
              <w:rPr>
                <w:rFonts w:ascii="Calibri" w:hAnsi="Calibri"/>
                <w:b/>
                <w:color w:val="112A46"/>
                <w:sz w:val="19"/>
              </w:rPr>
              <w:t>Medical decision point</w:t>
            </w:r>
          </w:p>
        </w:tc>
        <w:tc>
          <w:tcPr>
            <w:tcW w:type="dxa" w:w="2560"/>
            <w:shd w:fill="F2F4F7"/>
            <w:vAlign w:val="center"/>
          </w:tcPr>
          <w:p>
            <w:pPr>
              <w:keepLines/>
              <w:spacing w:before="0" w:after="40" w:line="259" w:lineRule="auto"/>
            </w:pPr>
            <w:r>
              <w:rPr>
                <w:rFonts w:ascii="Calibri" w:hAnsi="Calibri"/>
                <w:b/>
                <w:color w:val="112A46"/>
                <w:sz w:val="19"/>
              </w:rPr>
              <w:t>Executive value</w:t>
            </w:r>
          </w:p>
        </w:tc>
      </w:tr>
      <w:tr>
        <w:trPr>
          <w:cantSplit/>
        </w:trPr>
        <w:tc>
          <w:tcPr>
            <w:tcW w:type="dxa" w:w="1400"/>
            <w:vAlign w:val="center"/>
          </w:tcPr>
          <w:p>
            <w:pPr>
              <w:keepLines/>
              <w:spacing w:before="0" w:after="40" w:line="259" w:lineRule="auto"/>
            </w:pPr>
            <w:r>
              <w:rPr>
                <w:rFonts w:ascii="Calibri" w:hAnsi="Calibri"/>
                <w:b w:val="0"/>
                <w:color w:val="33373B"/>
                <w:sz w:val="19"/>
              </w:rPr>
              <w:t>Plan</w:t>
            </w:r>
          </w:p>
        </w:tc>
        <w:tc>
          <w:tcPr>
            <w:tcW w:type="dxa" w:w="2700"/>
            <w:vAlign w:val="center"/>
          </w:tcPr>
          <w:p>
            <w:pPr>
              <w:keepLines/>
              <w:spacing w:before="0" w:after="40" w:line="259" w:lineRule="auto"/>
            </w:pPr>
            <w:r>
              <w:rPr>
                <w:rFonts w:ascii="Calibri" w:hAnsi="Calibri"/>
                <w:b w:val="0"/>
                <w:color w:val="33373B"/>
                <w:sz w:val="19"/>
              </w:rPr>
              <w:t>Identify high-heat work, PPE burden, radiant surfaces, staffing pressure, and acclimatization windows.</w:t>
            </w:r>
          </w:p>
        </w:tc>
        <w:tc>
          <w:tcPr>
            <w:tcW w:type="dxa" w:w="2700"/>
            <w:vAlign w:val="center"/>
          </w:tcPr>
          <w:p>
            <w:pPr>
              <w:keepLines/>
              <w:spacing w:before="0" w:after="40" w:line="259" w:lineRule="auto"/>
            </w:pPr>
            <w:r>
              <w:rPr>
                <w:rFonts w:ascii="Calibri" w:hAnsi="Calibri"/>
                <w:b w:val="0"/>
                <w:color w:val="33373B"/>
                <w:sz w:val="19"/>
              </w:rPr>
              <w:t>Decide when work-rest cycles, modified tasks, or additional medical readiness are needed.</w:t>
            </w:r>
          </w:p>
        </w:tc>
        <w:tc>
          <w:tcPr>
            <w:tcW w:type="dxa" w:w="2560"/>
            <w:vAlign w:val="center"/>
          </w:tcPr>
          <w:p>
            <w:pPr>
              <w:keepLines/>
              <w:spacing w:before="0" w:after="40" w:line="259" w:lineRule="auto"/>
            </w:pPr>
            <w:r>
              <w:rPr>
                <w:rFonts w:ascii="Calibri" w:hAnsi="Calibri"/>
                <w:b w:val="0"/>
                <w:color w:val="33373B"/>
                <w:sz w:val="19"/>
              </w:rPr>
              <w:t>Controls are set before the crew is already under stress.</w:t>
            </w:r>
          </w:p>
        </w:tc>
      </w:tr>
      <w:tr>
        <w:trPr>
          <w:cantSplit/>
        </w:trPr>
        <w:tc>
          <w:tcPr>
            <w:tcW w:type="dxa" w:w="1400"/>
            <w:vAlign w:val="center"/>
          </w:tcPr>
          <w:p>
            <w:pPr>
              <w:keepLines/>
              <w:spacing w:before="0" w:after="40" w:line="259" w:lineRule="auto"/>
            </w:pPr>
            <w:r>
              <w:rPr>
                <w:rFonts w:ascii="Calibri" w:hAnsi="Calibri"/>
                <w:b w:val="0"/>
                <w:color w:val="33373B"/>
                <w:sz w:val="19"/>
              </w:rPr>
              <w:t>Observe</w:t>
            </w:r>
          </w:p>
        </w:tc>
        <w:tc>
          <w:tcPr>
            <w:tcW w:type="dxa" w:w="2700"/>
            <w:vAlign w:val="center"/>
          </w:tcPr>
          <w:p>
            <w:pPr>
              <w:keepLines/>
              <w:spacing w:before="0" w:after="40" w:line="259" w:lineRule="auto"/>
            </w:pPr>
            <w:r>
              <w:rPr>
                <w:rFonts w:ascii="Calibri" w:hAnsi="Calibri"/>
                <w:b w:val="0"/>
                <w:color w:val="33373B"/>
                <w:sz w:val="19"/>
              </w:rPr>
              <w:t>Use stretch-and-flex, toolbox talks, and scheduled breaks to notice behavior, gait, speech, coordination, and fatigue.</w:t>
            </w:r>
          </w:p>
        </w:tc>
        <w:tc>
          <w:tcPr>
            <w:tcW w:type="dxa" w:w="2700"/>
            <w:vAlign w:val="center"/>
          </w:tcPr>
          <w:p>
            <w:pPr>
              <w:keepLines/>
              <w:spacing w:before="0" w:after="40" w:line="259" w:lineRule="auto"/>
            </w:pPr>
            <w:r>
              <w:rPr>
                <w:rFonts w:ascii="Calibri" w:hAnsi="Calibri"/>
                <w:b w:val="0"/>
                <w:color w:val="33373B"/>
                <w:sz w:val="19"/>
              </w:rPr>
              <w:t>Decide whether early symptoms require removal from heat and closer assessment.</w:t>
            </w:r>
          </w:p>
        </w:tc>
        <w:tc>
          <w:tcPr>
            <w:tcW w:type="dxa" w:w="2560"/>
            <w:vAlign w:val="center"/>
          </w:tcPr>
          <w:p>
            <w:pPr>
              <w:keepLines/>
              <w:spacing w:before="0" w:after="40" w:line="259" w:lineRule="auto"/>
            </w:pPr>
            <w:r>
              <w:rPr>
                <w:rFonts w:ascii="Calibri" w:hAnsi="Calibri"/>
                <w:b w:val="0"/>
                <w:color w:val="33373B"/>
                <w:sz w:val="19"/>
              </w:rPr>
              <w:t>Supervisors act on early data instead of waiting for collapse.</w:t>
            </w:r>
          </w:p>
        </w:tc>
      </w:tr>
      <w:tr>
        <w:trPr>
          <w:cantSplit/>
        </w:trPr>
        <w:tc>
          <w:tcPr>
            <w:tcW w:type="dxa" w:w="1400"/>
            <w:vAlign w:val="center"/>
          </w:tcPr>
          <w:p>
            <w:pPr>
              <w:keepLines/>
              <w:spacing w:before="0" w:after="40" w:line="259" w:lineRule="auto"/>
            </w:pPr>
            <w:r>
              <w:rPr>
                <w:rFonts w:ascii="Calibri" w:hAnsi="Calibri"/>
                <w:b w:val="0"/>
                <w:color w:val="33373B"/>
                <w:sz w:val="19"/>
              </w:rPr>
              <w:t>Triage</w:t>
            </w:r>
          </w:p>
        </w:tc>
        <w:tc>
          <w:tcPr>
            <w:tcW w:type="dxa" w:w="2700"/>
            <w:vAlign w:val="center"/>
          </w:tcPr>
          <w:p>
            <w:pPr>
              <w:keepLines/>
              <w:spacing w:before="0" w:after="40" w:line="259" w:lineRule="auto"/>
            </w:pPr>
            <w:r>
              <w:rPr>
                <w:rFonts w:ascii="Calibri" w:hAnsi="Calibri"/>
                <w:b w:val="0"/>
                <w:color w:val="33373B"/>
                <w:sz w:val="19"/>
              </w:rPr>
              <w:t>Remove from heat, cool actively, assess mental status, symptoms, function, and oral fluid tolerance.</w:t>
            </w:r>
          </w:p>
        </w:tc>
        <w:tc>
          <w:tcPr>
            <w:tcW w:type="dxa" w:w="2700"/>
            <w:vAlign w:val="center"/>
          </w:tcPr>
          <w:p>
            <w:pPr>
              <w:keepLines/>
              <w:spacing w:before="0" w:after="40" w:line="259" w:lineRule="auto"/>
            </w:pPr>
            <w:r>
              <w:rPr>
                <w:rFonts w:ascii="Calibri" w:hAnsi="Calibri"/>
                <w:b w:val="0"/>
                <w:color w:val="33373B"/>
                <w:sz w:val="19"/>
              </w:rPr>
              <w:t>Decide whether field management is still appropriate or escalation is required.</w:t>
            </w:r>
          </w:p>
        </w:tc>
        <w:tc>
          <w:tcPr>
            <w:tcW w:type="dxa" w:w="2560"/>
            <w:vAlign w:val="center"/>
          </w:tcPr>
          <w:p>
            <w:pPr>
              <w:keepLines/>
              <w:spacing w:before="0" w:after="40" w:line="259" w:lineRule="auto"/>
            </w:pPr>
            <w:r>
              <w:rPr>
                <w:rFonts w:ascii="Calibri" w:hAnsi="Calibri"/>
                <w:b w:val="0"/>
                <w:color w:val="33373B"/>
                <w:sz w:val="19"/>
              </w:rPr>
              <w:t>Field response becomes consistent across crews and projects.</w:t>
            </w:r>
          </w:p>
        </w:tc>
      </w:tr>
      <w:tr>
        <w:trPr>
          <w:cantSplit/>
        </w:trPr>
        <w:tc>
          <w:tcPr>
            <w:tcW w:type="dxa" w:w="1400"/>
            <w:vAlign w:val="center"/>
          </w:tcPr>
          <w:p>
            <w:pPr>
              <w:keepLines/>
              <w:spacing w:before="0" w:after="40" w:line="259" w:lineRule="auto"/>
            </w:pPr>
            <w:r>
              <w:rPr>
                <w:rFonts w:ascii="Calibri" w:hAnsi="Calibri"/>
                <w:b w:val="0"/>
                <w:color w:val="33373B"/>
                <w:sz w:val="19"/>
              </w:rPr>
              <w:t>Direct</w:t>
            </w:r>
          </w:p>
        </w:tc>
        <w:tc>
          <w:tcPr>
            <w:tcW w:type="dxa" w:w="2700"/>
            <w:vAlign w:val="center"/>
          </w:tcPr>
          <w:p>
            <w:pPr>
              <w:keepLines/>
              <w:spacing w:before="0" w:after="40" w:line="259" w:lineRule="auto"/>
            </w:pPr>
            <w:r>
              <w:rPr>
                <w:rFonts w:ascii="Calibri" w:hAnsi="Calibri"/>
                <w:b w:val="0"/>
                <w:color w:val="33373B"/>
                <w:sz w:val="19"/>
              </w:rPr>
              <w:t>Connect supervisors with occupational medical guidance when facts are unclear or risk is rising.</w:t>
            </w:r>
          </w:p>
        </w:tc>
        <w:tc>
          <w:tcPr>
            <w:tcW w:type="dxa" w:w="2700"/>
            <w:vAlign w:val="center"/>
          </w:tcPr>
          <w:p>
            <w:pPr>
              <w:keepLines/>
              <w:spacing w:before="0" w:after="40" w:line="259" w:lineRule="auto"/>
            </w:pPr>
            <w:r>
              <w:rPr>
                <w:rFonts w:ascii="Calibri" w:hAnsi="Calibri"/>
                <w:b w:val="0"/>
                <w:color w:val="33373B"/>
                <w:sz w:val="19"/>
              </w:rPr>
              <w:t>Decide return to work, removal from heat, outside evaluation, or EMS activation.</w:t>
            </w:r>
          </w:p>
        </w:tc>
        <w:tc>
          <w:tcPr>
            <w:tcW w:type="dxa" w:w="2560"/>
            <w:vAlign w:val="center"/>
          </w:tcPr>
          <w:p>
            <w:pPr>
              <w:keepLines/>
              <w:spacing w:before="0" w:after="40" w:line="259" w:lineRule="auto"/>
            </w:pPr>
            <w:r>
              <w:rPr>
                <w:rFonts w:ascii="Calibri" w:hAnsi="Calibri"/>
                <w:b w:val="0"/>
                <w:color w:val="33373B"/>
                <w:sz w:val="19"/>
              </w:rPr>
              <w:t>Clinical uncertainty is handled by a defined process.</w:t>
            </w:r>
          </w:p>
        </w:tc>
      </w:tr>
      <w:tr>
        <w:trPr>
          <w:cantSplit/>
        </w:trPr>
        <w:tc>
          <w:tcPr>
            <w:tcW w:type="dxa" w:w="1400"/>
            <w:vAlign w:val="center"/>
          </w:tcPr>
          <w:p>
            <w:pPr>
              <w:keepLines/>
              <w:spacing w:before="0" w:after="40" w:line="259" w:lineRule="auto"/>
            </w:pPr>
            <w:r>
              <w:rPr>
                <w:rFonts w:ascii="Calibri" w:hAnsi="Calibri"/>
                <w:b w:val="0"/>
                <w:color w:val="33373B"/>
                <w:sz w:val="19"/>
              </w:rPr>
              <w:t>Improve</w:t>
            </w:r>
          </w:p>
        </w:tc>
        <w:tc>
          <w:tcPr>
            <w:tcW w:type="dxa" w:w="2700"/>
            <w:vAlign w:val="center"/>
          </w:tcPr>
          <w:p>
            <w:pPr>
              <w:keepLines/>
              <w:spacing w:before="0" w:after="40" w:line="259" w:lineRule="auto"/>
            </w:pPr>
            <w:r>
              <w:rPr>
                <w:rFonts w:ascii="Calibri" w:hAnsi="Calibri"/>
                <w:b w:val="0"/>
                <w:color w:val="33373B"/>
                <w:sz w:val="19"/>
              </w:rPr>
              <w:t>Capture facts, trend exposures, review missed signals, and update the heat plan.</w:t>
            </w:r>
          </w:p>
        </w:tc>
        <w:tc>
          <w:tcPr>
            <w:tcW w:type="dxa" w:w="2700"/>
            <w:vAlign w:val="center"/>
          </w:tcPr>
          <w:p>
            <w:pPr>
              <w:keepLines/>
              <w:spacing w:before="0" w:after="40" w:line="259" w:lineRule="auto"/>
            </w:pPr>
            <w:r>
              <w:rPr>
                <w:rFonts w:ascii="Calibri" w:hAnsi="Calibri"/>
                <w:b w:val="0"/>
                <w:color w:val="33373B"/>
                <w:sz w:val="19"/>
              </w:rPr>
              <w:t>Decide whether the program, staffing, equipment, or training needs adjustment.</w:t>
            </w:r>
          </w:p>
        </w:tc>
        <w:tc>
          <w:tcPr>
            <w:tcW w:type="dxa" w:w="2560"/>
            <w:vAlign w:val="center"/>
          </w:tcPr>
          <w:p>
            <w:pPr>
              <w:keepLines/>
              <w:spacing w:before="0" w:after="40" w:line="259" w:lineRule="auto"/>
            </w:pPr>
            <w:r>
              <w:rPr>
                <w:rFonts w:ascii="Calibri" w:hAnsi="Calibri"/>
                <w:b w:val="0"/>
                <w:color w:val="33373B"/>
                <w:sz w:val="19"/>
              </w:rPr>
              <w:t>Each event becomes a prevention signal for the next shift.</w:t>
            </w:r>
          </w:p>
        </w:tc>
      </w:tr>
    </w:tbl>
    <w:p>
      <w:pPr>
        <w:spacing w:after="120"/>
      </w:pPr>
    </w:p>
    <w:p>
      <w:pPr>
        <w:pStyle w:val="Heading1"/>
        <w:keepNext/>
        <w:pageBreakBefore w:val="0"/>
      </w:pPr>
      <w:r>
        <w:rPr>
          <w:rFonts w:ascii="Calibri" w:hAnsi="Calibri"/>
          <w:b/>
          <w:color w:val="112A46"/>
        </w:rPr>
        <w:t>The One-Worker Principle: Hidden Accelerators</w:t>
      </w:r>
    </w:p>
    <w:p>
      <w:pPr>
        <w:widowControl/>
      </w:pPr>
      <w:r>
        <w:rPr>
          <w:rFonts w:ascii="Calibri" w:hAnsi="Calibri"/>
          <w:color w:val="33373B"/>
        </w:rPr>
        <w:t>The worker most likely to deteriorate may not be the newest, oldest, or least experienced person on the crew. They may be the dependable veteran who missed sleep, skipped breakfast, recently returned from illness, took an antihistamine, forgot blood pressure medication, drank heavily over the weekend, or moved from an air-conditioned assignment into heavy outdoor work.</w:t>
      </w:r>
    </w:p>
    <w:p>
      <w:pPr>
        <w:widowControl/>
      </w:pPr>
      <w:r>
        <w:rPr>
          <w:rFonts w:ascii="Calibri" w:hAnsi="Calibri"/>
          <w:color w:val="33373B"/>
        </w:rPr>
        <w:t>Industrial MD's framing is to protect workers without asking supervisors to collect unnecessary private medical details. A confidential medical bridge gives the worker a non-punitive path to raise concerns with qualified medical personnel. The employer does not need a broad medical history. The operational output may be simple: extra shade cycles, modified work, closer observation, reduced PPE exposure when feasible, or medical follow-up.</w:t>
      </w:r>
    </w:p>
    <w:p>
      <w:pPr>
        <w:widowControl/>
      </w:pPr>
      <w:r>
        <w:rPr>
          <w:rFonts w:ascii="Calibri" w:hAnsi="Calibri"/>
          <w:color w:val="33373B"/>
        </w:rPr>
        <w:t>This is also a culture issue. If workers believe disclosure means lost hours, judgment, or removal from the crew, they will hide early symptoms. If they understand that early reporting is a safety action and private medical information can be handled appropriately, the site gains time. Heat prevention improves when workers are not forced to choose between honesty and income.</w:t>
      </w:r>
    </w:p>
    <w:p>
      <w:pPr>
        <w:pStyle w:val="ListBullet"/>
        <w:widowControl/>
      </w:pPr>
      <w:r>
        <w:rPr>
          <w:rFonts w:ascii="Calibri" w:hAnsi="Calibri"/>
          <w:color w:val="33373B"/>
        </w:rPr>
        <w:t>Clinical accelerators: diabetes, hypertension, kidney disease, cardiovascular disease, prior heat illness, fever, gastrointestinal illness, and poor conditioning.</w:t>
      </w:r>
    </w:p>
    <w:p>
      <w:pPr>
        <w:pStyle w:val="ListBullet"/>
        <w:widowControl/>
      </w:pPr>
      <w:r>
        <w:rPr>
          <w:rFonts w:ascii="Calibri" w:hAnsi="Calibri"/>
          <w:color w:val="33373B"/>
        </w:rPr>
        <w:t>Medication risks: diuretics, beta-blockers, antihistamines, stimulants, psychiatric medications, and other drugs that may affect sweating, hydration, heart rate, or alertness.</w:t>
      </w:r>
    </w:p>
    <w:p>
      <w:pPr>
        <w:pStyle w:val="ListBullet"/>
        <w:widowControl/>
      </w:pPr>
      <w:r>
        <w:rPr>
          <w:rFonts w:ascii="Calibri" w:hAnsi="Calibri"/>
          <w:color w:val="33373B"/>
        </w:rPr>
        <w:t>Behavioral and economic stressors: poor sleep, alcohol, high caffeine use, skipped meals, food insecurity, dehydration, and reluctance to report symptoms.</w:t>
      </w:r>
    </w:p>
    <w:p>
      <w:pPr>
        <w:pStyle w:val="Heading1"/>
        <w:keepNext/>
        <w:pageBreakBefore w:val="0"/>
      </w:pPr>
      <w:r>
        <w:rPr>
          <w:rFonts w:ascii="Calibri" w:hAnsi="Calibri"/>
          <w:b/>
          <w:color w:val="112A46"/>
        </w:rPr>
        <w:t>Acclimatization as an Operating Control</w:t>
      </w:r>
    </w:p>
    <w:p>
      <w:pPr>
        <w:widowControl/>
      </w:pPr>
      <w:r>
        <w:rPr>
          <w:rFonts w:ascii="Calibri" w:hAnsi="Calibri"/>
          <w:color w:val="33373B"/>
        </w:rPr>
        <w:t>Acclimatization is one of the most important controls in industrial heat management. It is a physiological adaptation process that determines how well a worker can tolerate heat exposure and sustained labor.</w:t>
      </w:r>
    </w:p>
    <w:p>
      <w:pPr>
        <w:widowControl/>
      </w:pPr>
      <w:r>
        <w:rPr>
          <w:rFonts w:ascii="Calibri" w:hAnsi="Calibri"/>
          <w:color w:val="33373B"/>
        </w:rPr>
        <w:t>An acclimatized worker sweats more efficiently, maintains better cardiovascular stability, regulates core temperature more effectively, and tolerates exertion with less strain. A non-acclimatized worker may develop symptoms much earlier, even when the forecast does not look extreme.</w:t>
      </w:r>
    </w:p>
    <w:p>
      <w:pPr>
        <w:widowControl/>
      </w:pPr>
      <w:r>
        <w:rPr>
          <w:rFonts w:ascii="Calibri" w:hAnsi="Calibri"/>
          <w:color w:val="33373B"/>
        </w:rPr>
        <w:t>The highest-risk windows are predictable: first hot days, heat waves, new hires, returning workers, task changes, travel from cooler climates, weekend gaps, and reassignment to heavier or hotter tasks. Experience on the job does not always equal current heat tolerance.</w:t>
      </w:r>
    </w:p>
    <w:p>
      <w:pPr>
        <w:widowControl/>
      </w:pPr>
      <w:r>
        <w:rPr>
          <w:rFonts w:ascii="Calibri" w:hAnsi="Calibri"/>
          <w:color w:val="33373B"/>
        </w:rPr>
        <w:t>Supervisors should know who is new, returning, changing tasks, working extended hours, or entering heat without recent conditioning. These workers may need closer observation, modified workload, more rest, or shorter exposure.</w:t>
      </w:r>
    </w:p>
    <w:p>
      <w:pPr>
        <w:widowControl/>
      </w:pPr>
      <w:r>
        <w:rPr>
          <w:rFonts w:ascii="Calibri" w:hAnsi="Calibri"/>
          <w:color w:val="33373B"/>
        </w:rPr>
        <w:t>Leadership support is essential. If production expectations remain unchanged during the first high-heat period, supervisors may feel pressure to keep work moving even when the workforce is not physiologically prepared. The better question is not, "Is it hot today?" It is, "Who is least prepared to tolerate today's heat exposure?"</w:t>
      </w:r>
    </w:p>
    <w:p>
      <w:pPr>
        <w:spacing w:after="40"/>
      </w:pPr>
    </w:p>
    <w:tbl>
      <w:tblGrid>
        <w:gridCol w:w="9360"/>
      </w:tblGrid>
      <w:tblPr>
        <w:tblW w:type="dxa" w:w="9360"/>
        <w:tblLayout w:type="fixed"/>
        <w:tblLook w:firstColumn="1" w:firstRow="1" w:lastColumn="0" w:lastRow="0" w:noHBand="0" w:noVBand="1" w:val="04A0"/>
        <w:tblInd w:type="dxa" w:w="120"/>
        <w:tblBorders>
          <w:top w:val="single" w:sz="4" w:space="0" w:color="112A46"/>
          <w:left w:val="single" w:sz="4" w:space="0" w:color="112A46"/>
          <w:bottom w:val="single" w:sz="4" w:space="0" w:color="112A46"/>
          <w:right w:val="single" w:sz="4" w:space="0" w:color="112A46"/>
          <w:insideH w:val="single" w:sz="4" w:space="0" w:color="112A46"/>
          <w:insideV w:val="single" w:sz="4" w:space="0" w:color="112A46"/>
        </w:tblBorders>
        <w:tblCellMar>
          <w:top w:w="100" w:type="dxa"/>
          <w:bottom w:w="100" w:type="dxa"/>
          <w:start w:w="140" w:type="dxa"/>
          <w:end w:w="140" w:type="dxa"/>
        </w:tblCellMar>
      </w:tblPr>
      <w:tr>
        <w:trPr>
          <w:tblHeader/>
          <w:cantSplit/>
        </w:trPr>
        <w:tc>
          <w:tcPr>
            <w:tcW w:type="dxa" w:w="9360"/>
            <w:shd w:fill="F5F2EC"/>
            <w:vAlign w:val="center"/>
          </w:tcPr>
          <w:p>
            <w:pPr>
              <w:keepLines/>
              <w:spacing w:after="80"/>
            </w:pPr>
            <w:r/>
            <w:r>
              <w:rPr>
                <w:rFonts w:ascii="Calibri" w:hAnsi="Calibri"/>
                <w:b/>
                <w:color w:val="112A46"/>
                <w:sz w:val="21"/>
              </w:rPr>
              <w:t>Medical Bridge Principle</w:t>
            </w:r>
          </w:p>
          <w:p>
            <w:pPr>
              <w:keepLines/>
              <w:spacing w:after="40" w:line="269" w:lineRule="auto"/>
            </w:pPr>
            <w:r>
              <w:rPr>
                <w:rFonts w:ascii="Calibri" w:hAnsi="Calibri"/>
                <w:color w:val="33373B"/>
                <w:sz w:val="21"/>
              </w:rPr>
              <w:t>The employer needs actionable work parameters, not private medical details. Qualified occupational medical guidance can translate worker-specific risk into non-sensitive field controls.</w:t>
            </w:r>
          </w:p>
        </w:tc>
      </w:tr>
    </w:tbl>
    <w:p>
      <w:pPr>
        <w:spacing w:after="120"/>
      </w:pPr>
    </w:p>
    <w:p>
      <w:pPr>
        <w:pStyle w:val="Heading1"/>
        <w:keepNext/>
        <w:pageBreakBefore w:val="0"/>
      </w:pPr>
      <w:r>
        <w:rPr>
          <w:rFonts w:ascii="Calibri" w:hAnsi="Calibri"/>
          <w:b/>
          <w:color w:val="112A46"/>
        </w:rPr>
        <w:t>Field Response: Red Flags, Cooling, and the Gastric Gate</w:t>
      </w:r>
    </w:p>
    <w:p>
      <w:pPr>
        <w:widowControl/>
      </w:pPr>
      <w:r>
        <w:rPr>
          <w:rFonts w:ascii="Calibri" w:hAnsi="Calibri"/>
          <w:color w:val="33373B"/>
        </w:rPr>
        <w:t>Once a worker is symptomatic, the decision system changes. The question is no longer only how to reduce heat exposure across the crew. The question is whether this specific worker is stable, improving, and appropriate for continued field management.</w:t>
      </w:r>
    </w:p>
    <w:p>
      <w:pPr>
        <w:widowControl/>
      </w:pPr>
      <w:r>
        <w:rPr>
          <w:rFonts w:ascii="Calibri" w:hAnsi="Calibri"/>
          <w:color w:val="33373B"/>
        </w:rPr>
        <w:t>The first step is to stop heat exposure and exertion. Move the employee to shade, air conditioning, a cooled vehicle, a cooling trailer, or another lower-heat area. Remove unnecessary PPE consistent with safety and privacy. Begin active cooling within training and policy: fans, misting, cool towels, ice towels, cold packs, cool water, or other approved methods. For suspected heat stroke or severe symptoms, emergency care should be activated immediately while cooling begins.</w:t>
      </w:r>
    </w:p>
    <w:p>
      <w:pPr>
        <w:widowControl/>
      </w:pPr>
      <w:r>
        <w:rPr>
          <w:rFonts w:ascii="Calibri" w:hAnsi="Calibri"/>
          <w:color w:val="33373B"/>
        </w:rPr>
        <w:t>The red flags are not subtle: altered mental status, confusion, fainting, collapse, seizure, loss of consciousness, abnormal gait, severe weakness, repeated vomiting, chest pain, severe shortness of breath, shock, or rapid worsening. EMS should not be delayed for a phone call when these signs are present.</w:t>
      </w:r>
    </w:p>
    <w:p>
      <w:pPr>
        <w:widowControl/>
      </w:pPr>
      <w:r>
        <w:rPr>
          <w:rFonts w:ascii="Calibri" w:hAnsi="Calibri"/>
          <w:color w:val="33373B"/>
        </w:rPr>
        <w:t>The Gastric Gate is the practical boundary for oral hydration. An awake, alert worker who can sit upright, communicate clearly, swallow normally, tolerate measured fluids, and steadily improve may remain appropriate for observed cooling with medical guidance. A worker who vomits repeatedly, cannot keep fluids down, becomes confused, cannot sit or stand safely, or worsens despite cooling has crossed out of routine field hydration. More water is not the answer. Better escalation is.</w:t>
      </w:r>
    </w:p>
    <w:p>
      <w:pPr>
        <w:spacing w:after="40"/>
      </w:pPr>
    </w:p>
    <w:tbl>
      <w:tblGrid>
        <w:gridCol w:w="9360"/>
      </w:tblGrid>
      <w:tblPr>
        <w:tblW w:type="dxa" w:w="9360"/>
        <w:tblLayout w:type="fixed"/>
        <w:tblLook w:firstColumn="1" w:firstRow="1" w:lastColumn="0" w:lastRow="0" w:noHBand="0" w:noVBand="1" w:val="04A0"/>
        <w:tblInd w:type="dxa" w:w="120"/>
        <w:tblBorders>
          <w:top w:val="single" w:sz="4" w:space="0" w:color="B22A2E"/>
          <w:left w:val="single" w:sz="4" w:space="0" w:color="B22A2E"/>
          <w:bottom w:val="single" w:sz="4" w:space="0" w:color="B22A2E"/>
          <w:right w:val="single" w:sz="4" w:space="0" w:color="B22A2E"/>
          <w:insideH w:val="single" w:sz="4" w:space="0" w:color="B22A2E"/>
          <w:insideV w:val="single" w:sz="4" w:space="0" w:color="B22A2E"/>
        </w:tblBorders>
        <w:tblCellMar>
          <w:top w:w="100" w:type="dxa"/>
          <w:bottom w:w="100" w:type="dxa"/>
          <w:start w:w="140" w:type="dxa"/>
          <w:end w:w="140" w:type="dxa"/>
        </w:tblCellMar>
      </w:tblPr>
      <w:tr>
        <w:trPr>
          <w:tblHeader/>
          <w:cantSplit/>
        </w:trPr>
        <w:tc>
          <w:tcPr>
            <w:tcW w:type="dxa" w:w="9360"/>
            <w:shd w:fill="FFF3F3"/>
            <w:vAlign w:val="center"/>
          </w:tcPr>
          <w:p>
            <w:pPr>
              <w:keepLines/>
              <w:spacing w:after="80"/>
            </w:pPr>
            <w:r/>
            <w:r>
              <w:rPr>
                <w:rFonts w:ascii="Calibri" w:hAnsi="Calibri"/>
                <w:b/>
                <w:color w:val="B22A2E"/>
                <w:sz w:val="21"/>
              </w:rPr>
              <w:t>Field Rule</w:t>
            </w:r>
          </w:p>
          <w:p>
            <w:pPr>
              <w:keepLines/>
              <w:spacing w:after="40" w:line="269" w:lineRule="auto"/>
            </w:pPr>
            <w:r>
              <w:rPr>
                <w:rFonts w:ascii="Calibri" w:hAnsi="Calibri"/>
                <w:color w:val="33373B"/>
                <w:sz w:val="21"/>
              </w:rPr>
              <w:t>A worker with a drink in hand is not controlled if they cannot keep fluids down, walk normally, think clearly, or show sustained improvement.</w:t>
            </w:r>
          </w:p>
        </w:tc>
      </w:tr>
    </w:tbl>
    <w:p>
      <w:pPr>
        <w:spacing w:after="120"/>
      </w:pPr>
    </w:p>
    <w:p>
      <w:pPr>
        <w:pStyle w:val="Heading2"/>
        <w:keepNext/>
        <w:pageBreakBefore w:val="0"/>
      </w:pPr>
      <w:r>
        <w:rPr>
          <w:rFonts w:ascii="Calibri" w:hAnsi="Calibri"/>
          <w:b/>
          <w:color w:val="112A46"/>
        </w:rPr>
        <w:t>Heat Event Facts to Capture</w:t>
      </w:r>
    </w:p>
    <w:p>
      <w:pPr>
        <w:widowControl/>
      </w:pPr>
      <w:r>
        <w:rPr>
          <w:rFonts w:ascii="Calibri" w:hAnsi="Calibri"/>
          <w:color w:val="33373B"/>
        </w:rPr>
        <w:t>Documentation should serve the decision, not bury the field team. The fastest medical guidance comes from clean facts gathered in sequence.</w:t>
      </w:r>
    </w:p>
    <w:tbl>
      <w:tblGrid>
        <w:gridCol w:w="3120"/>
        <w:gridCol w:w="3120"/>
        <w:gridCol w:w="3120"/>
      </w:tblGrid>
      <w:tblPr>
        <w:tblStyle w:val="TableGrid"/>
        <w:tblW w:type="dxa" w:w="9360"/>
        <w:tblLayout w:type="fixed"/>
        <w:tblLook w:firstColumn="1" w:firstRow="1" w:lastColumn="0" w:lastRow="0" w:noHBand="0" w:noVBand="1" w:val="04A0"/>
        <w:tblInd w:type="dxa" w:w="120"/>
        <w:tblBorders>
          <w:top w:val="single" w:sz="4" w:space="0" w:color="D9DEE6"/>
          <w:left w:val="single" w:sz="4" w:space="0" w:color="D9DEE6"/>
          <w:bottom w:val="single" w:sz="4" w:space="0" w:color="D9DEE6"/>
          <w:right w:val="single" w:sz="4" w:space="0" w:color="D9DEE6"/>
          <w:insideH w:val="single" w:sz="4" w:space="0" w:color="D9DEE6"/>
          <w:insideV w:val="single" w:sz="4" w:space="0" w:color="D9DEE6"/>
        </w:tblBorders>
        <w:tblCellMar>
          <w:top w:w="100" w:type="dxa"/>
          <w:bottom w:w="100" w:type="dxa"/>
          <w:start w:w="140" w:type="dxa"/>
          <w:end w:w="140" w:type="dxa"/>
        </w:tblCellMar>
      </w:tblPr>
      <w:tr>
        <w:trPr>
          <w:tblHeader/>
          <w:cantSplit/>
        </w:trPr>
        <w:tc>
          <w:tcPr>
            <w:tcW w:type="dxa" w:w="3120"/>
            <w:shd w:fill="F2F4F7"/>
            <w:vAlign w:val="center"/>
          </w:tcPr>
          <w:p>
            <w:pPr>
              <w:keepLines/>
              <w:spacing w:before="0" w:after="40" w:line="259" w:lineRule="auto"/>
            </w:pPr>
            <w:r>
              <w:rPr>
                <w:rFonts w:ascii="Calibri" w:hAnsi="Calibri"/>
                <w:b/>
                <w:color w:val="112A46"/>
                <w:sz w:val="19"/>
              </w:rPr>
              <w:t>Exposure</w:t>
            </w:r>
          </w:p>
        </w:tc>
        <w:tc>
          <w:tcPr>
            <w:tcW w:type="dxa" w:w="3120"/>
            <w:shd w:fill="F2F4F7"/>
            <w:vAlign w:val="center"/>
          </w:tcPr>
          <w:p>
            <w:pPr>
              <w:keepLines/>
              <w:spacing w:before="0" w:after="40" w:line="259" w:lineRule="auto"/>
            </w:pPr>
            <w:r>
              <w:rPr>
                <w:rFonts w:ascii="Calibri" w:hAnsi="Calibri"/>
                <w:b/>
                <w:color w:val="112A46"/>
                <w:sz w:val="19"/>
              </w:rPr>
              <w:t>Worker status</w:t>
            </w:r>
          </w:p>
        </w:tc>
        <w:tc>
          <w:tcPr>
            <w:tcW w:type="dxa" w:w="3120"/>
            <w:shd w:fill="F2F4F7"/>
            <w:vAlign w:val="center"/>
          </w:tcPr>
          <w:p>
            <w:pPr>
              <w:keepLines/>
              <w:spacing w:before="0" w:after="40" w:line="259" w:lineRule="auto"/>
            </w:pPr>
            <w:r>
              <w:rPr>
                <w:rFonts w:ascii="Calibri" w:hAnsi="Calibri"/>
                <w:b/>
                <w:color w:val="112A46"/>
                <w:sz w:val="19"/>
              </w:rPr>
              <w:t>Response and disposition</w:t>
            </w:r>
          </w:p>
        </w:tc>
      </w:tr>
      <w:tr>
        <w:trPr>
          <w:cantSplit/>
        </w:trPr>
        <w:tc>
          <w:tcPr>
            <w:tcW w:type="dxa" w:w="3120"/>
            <w:vAlign w:val="center"/>
          </w:tcPr>
          <w:p>
            <w:pPr>
              <w:keepLines/>
              <w:spacing w:before="0" w:after="40" w:line="259" w:lineRule="auto"/>
            </w:pPr>
            <w:r>
              <w:rPr>
                <w:rFonts w:ascii="Calibri" w:hAnsi="Calibri"/>
                <w:b w:val="0"/>
                <w:color w:val="33373B"/>
                <w:sz w:val="19"/>
              </w:rPr>
              <w:t>Time, location, task, work intensity, direct sun, radiant surfaces, ventilation, enclosed work, heat index or WBGT if available, and PPE burden.</w:t>
            </w:r>
          </w:p>
        </w:tc>
        <w:tc>
          <w:tcPr>
            <w:tcW w:type="dxa" w:w="3120"/>
            <w:vAlign w:val="center"/>
          </w:tcPr>
          <w:p>
            <w:pPr>
              <w:keepLines/>
              <w:spacing w:before="0" w:after="40" w:line="259" w:lineRule="auto"/>
            </w:pPr>
            <w:r>
              <w:rPr>
                <w:rFonts w:ascii="Calibri" w:hAnsi="Calibri"/>
                <w:b w:val="0"/>
                <w:color w:val="33373B"/>
                <w:sz w:val="19"/>
              </w:rPr>
              <w:t>Symptom onset and trend; headache, cramps, nausea, vomiting, weakness, speech, coordination, gait, mental status, chest pain, shortness of breath, fluid tolerance, and baseline recovery.</w:t>
            </w:r>
          </w:p>
        </w:tc>
        <w:tc>
          <w:tcPr>
            <w:tcW w:type="dxa" w:w="3120"/>
            <w:vAlign w:val="center"/>
          </w:tcPr>
          <w:p>
            <w:pPr>
              <w:keepLines/>
              <w:spacing w:before="0" w:after="40" w:line="259" w:lineRule="auto"/>
            </w:pPr>
            <w:r>
              <w:rPr>
                <w:rFonts w:ascii="Calibri" w:hAnsi="Calibri"/>
                <w:b w:val="0"/>
                <w:color w:val="33373B"/>
                <w:sz w:val="19"/>
              </w:rPr>
              <w:t>Time removed from heat, cooling methods, fluids offered and tolerated, reassessment trend, medical direction contacted, EMS or clinic decision, transport, return-to-work status, and follow-up plan.</w:t>
            </w:r>
          </w:p>
        </w:tc>
      </w:tr>
    </w:tbl>
    <w:p>
      <w:pPr>
        <w:spacing w:after="120"/>
      </w:pPr>
    </w:p>
    <w:p>
      <w:pPr>
        <w:pStyle w:val="Heading1"/>
        <w:keepNext/>
        <w:pageBreakBefore w:val="0"/>
      </w:pPr>
      <w:r>
        <w:rPr>
          <w:rFonts w:ascii="Calibri" w:hAnsi="Calibri"/>
          <w:b/>
          <w:color w:val="112A46"/>
        </w:rPr>
        <w:t>Return-to-Work and Removal-from-Heat Decisions</w:t>
      </w:r>
    </w:p>
    <w:p>
      <w:pPr>
        <w:widowControl/>
      </w:pPr>
      <w:r>
        <w:rPr>
          <w:rFonts w:ascii="Calibri" w:hAnsi="Calibri"/>
          <w:color w:val="33373B"/>
        </w:rPr>
        <w:t>The most dangerous decision after a heat event may come after the worker appears better. Improvement at rest is not the same as readiness to return to heat-exposed work. The worker should be alert, oriented, communicating normally, walking safely, free of concerning symptoms, tolerating fluids, and showing sustained improvement after cooling.</w:t>
      </w:r>
    </w:p>
    <w:p>
      <w:pPr>
        <w:widowControl/>
      </w:pPr>
      <w:r>
        <w:rPr>
          <w:rFonts w:ascii="Calibri" w:hAnsi="Calibri"/>
          <w:color w:val="33373B"/>
        </w:rPr>
        <w:t>Even then, the next assignment matters. Returning to roof work, confined or enclosed spaces, heavy concrete work, high PPE burden, or sustained exertion may recreate the original problem. A safer plan may be modified duty, lower-heat work, increased rest, buddy monitoring, medical follow-up, or removal from heat exposure for the remainder of the shift.</w:t>
      </w:r>
    </w:p>
    <w:p>
      <w:pPr>
        <w:widowControl/>
      </w:pPr>
      <w:r>
        <w:rPr>
          <w:rFonts w:ascii="Calibri" w:hAnsi="Calibri"/>
          <w:color w:val="33373B"/>
        </w:rPr>
        <w:t>Sending the worker home also requires judgment. A recovering employee should not drive alone if dizziness, weakness, vomiting, confusion, unstable gait, or recurrence risk remains. The disposition should be documented clearly: returned to modified work, removed from heat, sent for outside evaluation, transported by another person, or transferred to EMS.</w:t>
      </w:r>
    </w:p>
    <w:p>
      <w:pPr>
        <w:pStyle w:val="Heading1"/>
        <w:keepNext/>
        <w:pageBreakBefore w:val="0"/>
      </w:pPr>
      <w:r>
        <w:rPr>
          <w:rFonts w:ascii="Calibri" w:hAnsi="Calibri"/>
          <w:b/>
          <w:color w:val="112A46"/>
        </w:rPr>
        <w:t>Medical Direction: Turning Field Facts Into Decisions</w:t>
      </w:r>
    </w:p>
    <w:p>
      <w:pPr>
        <w:widowControl/>
      </w:pPr>
      <w:r>
        <w:rPr>
          <w:rFonts w:ascii="Calibri" w:hAnsi="Calibri"/>
          <w:color w:val="33373B"/>
        </w:rPr>
        <w:t>Industrial MD's role is to bridge the gap between the jobsite and the medical system. Supervisors should not be expected to diagnose heat illness, distinguish every mimic, or decide alone whether a worker can safely return to heat exposure. They should be trained to recognize risk, remove the worker from exposure, cool actively, gather facts, escalate red flags, and contact medical direction when the decision is unclear.</w:t>
      </w:r>
    </w:p>
    <w:p>
      <w:pPr>
        <w:widowControl/>
      </w:pPr>
      <w:r>
        <w:rPr>
          <w:rFonts w:ascii="Calibri" w:hAnsi="Calibri"/>
          <w:color w:val="33373B"/>
        </w:rPr>
        <w:t>Medical direction is most valuable early, before the site has drifted into either overreaction or underreaction. It helps interpret worker-specific risk, symptom trend, fluid tolerance, mental status, work demands, and environmental burden. It also supports consistent documentation and return-to-work planning after the immediate event.</w:t>
      </w:r>
    </w:p>
    <w:p>
      <w:pPr>
        <w:widowControl/>
      </w:pPr>
      <w:r>
        <w:rPr>
          <w:rFonts w:ascii="Calibri" w:hAnsi="Calibri"/>
          <w:color w:val="33373B"/>
        </w:rPr>
        <w:t>This does not replace emergency care. It strengthens the decision process around it. When EMS is required, EMS is activated. When field management may be appropriate, the facts are reviewed through an occupational medicine lens. When return-to-work is uncertain, the plan is not left to production pressure or guesswork.</w:t>
      </w:r>
    </w:p>
    <w:p>
      <w:pPr>
        <w:pStyle w:val="Heading1"/>
        <w:keepNext/>
        <w:pageBreakBefore w:val="0"/>
      </w:pPr>
      <w:r>
        <w:rPr>
          <w:rFonts w:ascii="Calibri" w:hAnsi="Calibri"/>
          <w:b/>
          <w:color w:val="112A46"/>
        </w:rPr>
        <w:t>Case Lens: The Morning Shift</w:t>
      </w:r>
    </w:p>
    <w:p>
      <w:pPr>
        <w:widowControl/>
      </w:pPr>
      <w:r>
        <w:rPr>
          <w:rFonts w:ascii="Calibri" w:hAnsi="Calibri"/>
          <w:color w:val="33373B"/>
        </w:rPr>
        <w:t>A 48-year-old experienced laborer reports for a Monday shift in late May. The forecast does not look extreme, but humidity is high, the crew is working around concrete forms, and airflow will be limited as the day progresses. The employee slept poorly, skipped breakfast, had an energy drink on the drive in, and forgot a regular blood pressure medication. They have a mild headache but say nothing because they do not want to lose hours or slow the crew.</w:t>
      </w:r>
    </w:p>
    <w:p>
      <w:pPr>
        <w:widowControl/>
      </w:pPr>
      <w:r>
        <w:rPr>
          <w:rFonts w:ascii="Calibri" w:hAnsi="Calibri"/>
          <w:color w:val="33373B"/>
        </w:rPr>
        <w:t>6:45 AM — Hidden risk factors are present before work begins: poor sleep, missed medication, no breakfast, and rising humidity around concrete work.</w:t>
      </w:r>
    </w:p>
    <w:p>
      <w:pPr>
        <w:widowControl/>
      </w:pPr>
      <w:r>
        <w:rPr>
          <w:rFonts w:ascii="Calibri" w:hAnsi="Calibri"/>
          <w:color w:val="33373B"/>
        </w:rPr>
        <w:t>9:30 AM — During stretch-and-flex the employee is quieter and slower than usual. By mid-morning they are less coordinated, gray in the face, and fumbling with a task they normally handle easily.</w:t>
      </w:r>
    </w:p>
    <w:p>
      <w:pPr>
        <w:widowControl/>
      </w:pPr>
      <w:r>
        <w:rPr>
          <w:rFonts w:ascii="Calibri" w:hAnsi="Calibri"/>
          <w:color w:val="33373B"/>
        </w:rPr>
        <w:t>11:15 AM — The employee is nauseated, cannot tolerate food, and is not tolerating fluids reliably. Oral hydration alone is no longer a sufficient response.</w:t>
      </w:r>
    </w:p>
    <w:p>
      <w:pPr>
        <w:widowControl/>
      </w:pPr>
      <w:r>
        <w:rPr>
          <w:rFonts w:ascii="Calibri" w:hAnsi="Calibri"/>
          <w:color w:val="33373B"/>
        </w:rPr>
        <w:t>12:40 PM — The employee is cramping, weak, and struggling to keep pace. Safety is called only after the signs become obvious, and the situation escalates toward collapse.</w:t>
      </w:r>
    </w:p>
    <w:p>
      <w:pPr>
        <w:widowControl/>
      </w:pPr>
      <w:r>
        <w:rPr>
          <w:rFonts w:ascii="Calibri" w:hAnsi="Calibri"/>
          <w:color w:val="33373B"/>
        </w:rPr>
        <w:t>The collapse is the event everyone remembers, but it is not when the heat event began. A predictive system would have created earlier decision points: identify the day as higher risk, use the morning huddle as an observation window, give the worker a non-punitive way to report the headache and medication issue, remove them from heat when coordination changed, begin active cooling, check oral fluid tolerance, and contact medical direction before deterioration.</w:t>
      </w:r>
    </w:p>
    <w:p>
      <w:pPr>
        <w:pStyle w:val="Heading1"/>
        <w:keepNext/>
        <w:pageBreakBefore w:val="0"/>
      </w:pPr>
      <w:r>
        <w:rPr>
          <w:rFonts w:ascii="Calibri" w:hAnsi="Calibri"/>
          <w:b/>
          <w:color w:val="112A46"/>
        </w:rPr>
        <w:t>Executive Cost Lens for Reactive Heat Events</w:t>
      </w:r>
    </w:p>
    <w:p>
      <w:pPr>
        <w:widowControl/>
      </w:pPr>
      <w:r>
        <w:rPr>
          <w:rFonts w:ascii="Calibri" w:hAnsi="Calibri"/>
          <w:color w:val="33373B"/>
        </w:rPr>
        <w:t>The financial case for predictive management is not that every heat complaint becomes a catastrophic claim. It is that reactive systems wait until the hazard has already converted into cost. The direct cost may include EMS, emergency department or clinic evaluation, diagnostic testing, professional fees, follow-up care, paid time away, and workers' compensation administration. The indirect cost may include supervisor time, safety time, investigation, crew disruption, replacement labor, schedule delay, retraining, and management distraction.</w:t>
      </w:r>
    </w:p>
    <w:p>
      <w:pPr>
        <w:widowControl/>
      </w:pPr>
      <w:r>
        <w:rPr>
          <w:rFonts w:ascii="Calibri" w:hAnsi="Calibri"/>
          <w:color w:val="33373B"/>
        </w:rPr>
        <w:t>Safety economics literature and employer loss analyses commonly use indirect multipliers of roughly two to four times direct cost for planning purposes, depending on severity and operational disruption. Actual costs vary by jurisdiction, insurance structure, treatment pathway, wage rate, project schedule, and claim facts. The model below is not a claim forecast. It is a planning lens for understanding why upstream heat controls are usually less expensive than late response.</w:t>
      </w:r>
    </w:p>
    <w:tbl>
      <w:tblGrid>
        <w:gridCol w:w="2340"/>
        <w:gridCol w:w="2340"/>
        <w:gridCol w:w="2340"/>
        <w:gridCol w:w="2340"/>
      </w:tblGrid>
      <w:tblPr>
        <w:tblStyle w:val="TableGrid"/>
        <w:tblW w:type="dxa" w:w="9360"/>
        <w:tblLayout w:type="fixed"/>
        <w:tblLook w:firstColumn="1" w:firstRow="1" w:lastColumn="0" w:lastRow="0" w:noHBand="0" w:noVBand="1" w:val="04A0"/>
        <w:tblInd w:type="dxa" w:w="120"/>
        <w:tblBorders>
          <w:top w:val="single" w:sz="4" w:space="0" w:color="D9DEE6"/>
          <w:left w:val="single" w:sz="4" w:space="0" w:color="D9DEE6"/>
          <w:bottom w:val="single" w:sz="4" w:space="0" w:color="D9DEE6"/>
          <w:right w:val="single" w:sz="4" w:space="0" w:color="D9DEE6"/>
          <w:insideH w:val="single" w:sz="4" w:space="0" w:color="D9DEE6"/>
          <w:insideV w:val="single" w:sz="4" w:space="0" w:color="D9DEE6"/>
        </w:tblBorders>
        <w:tblCellMar>
          <w:top w:w="100" w:type="dxa"/>
          <w:bottom w:w="100" w:type="dxa"/>
          <w:start w:w="140" w:type="dxa"/>
          <w:end w:w="140" w:type="dxa"/>
        </w:tblCellMar>
      </w:tblPr>
      <w:tr>
        <w:trPr>
          <w:tblHeader/>
          <w:cantSplit/>
        </w:trPr>
        <w:tc>
          <w:tcPr>
            <w:tcW w:type="dxa" w:w="2340"/>
            <w:shd w:fill="F2F4F7"/>
            <w:vAlign w:val="center"/>
          </w:tcPr>
          <w:p>
            <w:pPr>
              <w:keepLines/>
              <w:spacing w:before="0" w:after="40" w:line="259" w:lineRule="auto"/>
            </w:pPr>
            <w:r>
              <w:rPr>
                <w:rFonts w:ascii="Calibri" w:hAnsi="Calibri"/>
                <w:b/>
                <w:color w:val="112A46"/>
                <w:sz w:val="19"/>
              </w:rPr>
              <w:t>Direct medical or claim cost</w:t>
            </w:r>
          </w:p>
        </w:tc>
        <w:tc>
          <w:tcPr>
            <w:tcW w:type="dxa" w:w="2340"/>
            <w:shd w:fill="F2F4F7"/>
            <w:vAlign w:val="center"/>
          </w:tcPr>
          <w:p>
            <w:pPr>
              <w:keepLines/>
              <w:spacing w:before="0" w:after="40" w:line="259" w:lineRule="auto"/>
            </w:pPr>
            <w:r>
              <w:rPr>
                <w:rFonts w:ascii="Calibri" w:hAnsi="Calibri"/>
                <w:b/>
                <w:color w:val="112A46"/>
                <w:sz w:val="19"/>
              </w:rPr>
              <w:t>Indirect cost at 2x</w:t>
            </w:r>
          </w:p>
        </w:tc>
        <w:tc>
          <w:tcPr>
            <w:tcW w:type="dxa" w:w="2340"/>
            <w:shd w:fill="F2F4F7"/>
            <w:vAlign w:val="center"/>
          </w:tcPr>
          <w:p>
            <w:pPr>
              <w:keepLines/>
              <w:spacing w:before="0" w:after="40" w:line="259" w:lineRule="auto"/>
            </w:pPr>
            <w:r>
              <w:rPr>
                <w:rFonts w:ascii="Calibri" w:hAnsi="Calibri"/>
                <w:b/>
                <w:color w:val="112A46"/>
                <w:sz w:val="19"/>
              </w:rPr>
              <w:t>Indirect cost at 4x</w:t>
            </w:r>
          </w:p>
        </w:tc>
        <w:tc>
          <w:tcPr>
            <w:tcW w:type="dxa" w:w="2340"/>
            <w:shd w:fill="F2F4F7"/>
            <w:vAlign w:val="center"/>
          </w:tcPr>
          <w:p>
            <w:pPr>
              <w:keepLines/>
              <w:spacing w:before="0" w:after="40" w:line="259" w:lineRule="auto"/>
            </w:pPr>
            <w:r>
              <w:rPr>
                <w:rFonts w:ascii="Calibri" w:hAnsi="Calibri"/>
                <w:b/>
                <w:color w:val="112A46"/>
                <w:sz w:val="19"/>
              </w:rPr>
              <w:t>Estimated total impact</w:t>
            </w:r>
          </w:p>
        </w:tc>
      </w:tr>
      <w:tr>
        <w:trPr>
          <w:cantSplit/>
        </w:trPr>
        <w:tc>
          <w:tcPr>
            <w:tcW w:type="dxa" w:w="2340"/>
            <w:vAlign w:val="center"/>
          </w:tcPr>
          <w:p>
            <w:pPr>
              <w:keepLines/>
              <w:spacing w:before="0" w:after="40" w:line="259" w:lineRule="auto"/>
            </w:pPr>
            <w:r>
              <w:rPr>
                <w:rFonts w:ascii="Calibri" w:hAnsi="Calibri"/>
                <w:b w:val="0"/>
                <w:color w:val="33373B"/>
                <w:sz w:val="19"/>
              </w:rPr>
              <w:t>$3,000</w:t>
            </w:r>
          </w:p>
        </w:tc>
        <w:tc>
          <w:tcPr>
            <w:tcW w:type="dxa" w:w="2340"/>
            <w:vAlign w:val="center"/>
          </w:tcPr>
          <w:p>
            <w:pPr>
              <w:keepLines/>
              <w:spacing w:before="0" w:after="40" w:line="259" w:lineRule="auto"/>
            </w:pPr>
            <w:r>
              <w:rPr>
                <w:rFonts w:ascii="Calibri" w:hAnsi="Calibri"/>
                <w:b w:val="0"/>
                <w:color w:val="33373B"/>
                <w:sz w:val="19"/>
              </w:rPr>
              <w:t>$6,000</w:t>
            </w:r>
          </w:p>
        </w:tc>
        <w:tc>
          <w:tcPr>
            <w:tcW w:type="dxa" w:w="2340"/>
            <w:vAlign w:val="center"/>
          </w:tcPr>
          <w:p>
            <w:pPr>
              <w:keepLines/>
              <w:spacing w:before="0" w:after="40" w:line="259" w:lineRule="auto"/>
            </w:pPr>
            <w:r>
              <w:rPr>
                <w:rFonts w:ascii="Calibri" w:hAnsi="Calibri"/>
                <w:b w:val="0"/>
                <w:color w:val="33373B"/>
                <w:sz w:val="19"/>
              </w:rPr>
              <w:t>$12,000</w:t>
            </w:r>
          </w:p>
        </w:tc>
        <w:tc>
          <w:tcPr>
            <w:tcW w:type="dxa" w:w="2340"/>
            <w:vAlign w:val="center"/>
          </w:tcPr>
          <w:p>
            <w:pPr>
              <w:keepLines/>
              <w:spacing w:before="0" w:after="40" w:line="259" w:lineRule="auto"/>
            </w:pPr>
            <w:r>
              <w:rPr>
                <w:rFonts w:ascii="Calibri" w:hAnsi="Calibri"/>
                <w:b w:val="0"/>
                <w:color w:val="33373B"/>
                <w:sz w:val="19"/>
              </w:rPr>
              <w:t>$9,000 to $15,000</w:t>
            </w:r>
          </w:p>
        </w:tc>
      </w:tr>
      <w:tr>
        <w:trPr>
          <w:cantSplit/>
        </w:trPr>
        <w:tc>
          <w:tcPr>
            <w:tcW w:type="dxa" w:w="2340"/>
            <w:vAlign w:val="center"/>
          </w:tcPr>
          <w:p>
            <w:pPr>
              <w:keepLines/>
              <w:spacing w:before="0" w:after="40" w:line="259" w:lineRule="auto"/>
            </w:pPr>
            <w:r>
              <w:rPr>
                <w:rFonts w:ascii="Calibri" w:hAnsi="Calibri"/>
                <w:b w:val="0"/>
                <w:color w:val="33373B"/>
                <w:sz w:val="19"/>
              </w:rPr>
              <w:t>$5,000</w:t>
            </w:r>
          </w:p>
        </w:tc>
        <w:tc>
          <w:tcPr>
            <w:tcW w:type="dxa" w:w="2340"/>
            <w:vAlign w:val="center"/>
          </w:tcPr>
          <w:p>
            <w:pPr>
              <w:keepLines/>
              <w:spacing w:before="0" w:after="40" w:line="259" w:lineRule="auto"/>
            </w:pPr>
            <w:r>
              <w:rPr>
                <w:rFonts w:ascii="Calibri" w:hAnsi="Calibri"/>
                <w:b w:val="0"/>
                <w:color w:val="33373B"/>
                <w:sz w:val="19"/>
              </w:rPr>
              <w:t>$10,000</w:t>
            </w:r>
          </w:p>
        </w:tc>
        <w:tc>
          <w:tcPr>
            <w:tcW w:type="dxa" w:w="2340"/>
            <w:vAlign w:val="center"/>
          </w:tcPr>
          <w:p>
            <w:pPr>
              <w:keepLines/>
              <w:spacing w:before="0" w:after="40" w:line="259" w:lineRule="auto"/>
            </w:pPr>
            <w:r>
              <w:rPr>
                <w:rFonts w:ascii="Calibri" w:hAnsi="Calibri"/>
                <w:b w:val="0"/>
                <w:color w:val="33373B"/>
                <w:sz w:val="19"/>
              </w:rPr>
              <w:t>$20,000</w:t>
            </w:r>
          </w:p>
        </w:tc>
        <w:tc>
          <w:tcPr>
            <w:tcW w:type="dxa" w:w="2340"/>
            <w:vAlign w:val="center"/>
          </w:tcPr>
          <w:p>
            <w:pPr>
              <w:keepLines/>
              <w:spacing w:before="0" w:after="40" w:line="259" w:lineRule="auto"/>
            </w:pPr>
            <w:r>
              <w:rPr>
                <w:rFonts w:ascii="Calibri" w:hAnsi="Calibri"/>
                <w:b w:val="0"/>
                <w:color w:val="33373B"/>
                <w:sz w:val="19"/>
              </w:rPr>
              <w:t>$15,000 to $25,000</w:t>
            </w:r>
          </w:p>
        </w:tc>
      </w:tr>
      <w:tr>
        <w:trPr>
          <w:cantSplit/>
        </w:trPr>
        <w:tc>
          <w:tcPr>
            <w:tcW w:type="dxa" w:w="2340"/>
            <w:vAlign w:val="center"/>
          </w:tcPr>
          <w:p>
            <w:pPr>
              <w:keepLines/>
              <w:spacing w:before="0" w:after="40" w:line="259" w:lineRule="auto"/>
            </w:pPr>
            <w:r>
              <w:rPr>
                <w:rFonts w:ascii="Calibri" w:hAnsi="Calibri"/>
                <w:b w:val="0"/>
                <w:color w:val="33373B"/>
                <w:sz w:val="19"/>
              </w:rPr>
              <w:t>$10,000</w:t>
            </w:r>
          </w:p>
        </w:tc>
        <w:tc>
          <w:tcPr>
            <w:tcW w:type="dxa" w:w="2340"/>
            <w:vAlign w:val="center"/>
          </w:tcPr>
          <w:p>
            <w:pPr>
              <w:keepLines/>
              <w:spacing w:before="0" w:after="40" w:line="259" w:lineRule="auto"/>
            </w:pPr>
            <w:r>
              <w:rPr>
                <w:rFonts w:ascii="Calibri" w:hAnsi="Calibri"/>
                <w:b w:val="0"/>
                <w:color w:val="33373B"/>
                <w:sz w:val="19"/>
              </w:rPr>
              <w:t>$20,000</w:t>
            </w:r>
          </w:p>
        </w:tc>
        <w:tc>
          <w:tcPr>
            <w:tcW w:type="dxa" w:w="2340"/>
            <w:vAlign w:val="center"/>
          </w:tcPr>
          <w:p>
            <w:pPr>
              <w:keepLines/>
              <w:spacing w:before="0" w:after="40" w:line="259" w:lineRule="auto"/>
            </w:pPr>
            <w:r>
              <w:rPr>
                <w:rFonts w:ascii="Calibri" w:hAnsi="Calibri"/>
                <w:b w:val="0"/>
                <w:color w:val="33373B"/>
                <w:sz w:val="19"/>
              </w:rPr>
              <w:t>$40,000</w:t>
            </w:r>
          </w:p>
        </w:tc>
        <w:tc>
          <w:tcPr>
            <w:tcW w:type="dxa" w:w="2340"/>
            <w:vAlign w:val="center"/>
          </w:tcPr>
          <w:p>
            <w:pPr>
              <w:keepLines/>
              <w:spacing w:before="0" w:after="40" w:line="259" w:lineRule="auto"/>
            </w:pPr>
            <w:r>
              <w:rPr>
                <w:rFonts w:ascii="Calibri" w:hAnsi="Calibri"/>
                <w:b w:val="0"/>
                <w:color w:val="33373B"/>
                <w:sz w:val="19"/>
              </w:rPr>
              <w:t>$30,000 to $50,000</w:t>
            </w:r>
          </w:p>
        </w:tc>
      </w:tr>
      <w:tr>
        <w:trPr>
          <w:cantSplit/>
        </w:trPr>
        <w:tc>
          <w:tcPr>
            <w:tcW w:type="dxa" w:w="2340"/>
            <w:vAlign w:val="center"/>
          </w:tcPr>
          <w:p>
            <w:pPr>
              <w:keepLines/>
              <w:spacing w:before="0" w:after="40" w:line="259" w:lineRule="auto"/>
            </w:pPr>
            <w:r>
              <w:rPr>
                <w:rFonts w:ascii="Calibri" w:hAnsi="Calibri"/>
                <w:b w:val="0"/>
                <w:color w:val="33373B"/>
                <w:sz w:val="19"/>
              </w:rPr>
              <w:t>$25,000</w:t>
            </w:r>
          </w:p>
        </w:tc>
        <w:tc>
          <w:tcPr>
            <w:tcW w:type="dxa" w:w="2340"/>
            <w:vAlign w:val="center"/>
          </w:tcPr>
          <w:p>
            <w:pPr>
              <w:keepLines/>
              <w:spacing w:before="0" w:after="40" w:line="259" w:lineRule="auto"/>
            </w:pPr>
            <w:r>
              <w:rPr>
                <w:rFonts w:ascii="Calibri" w:hAnsi="Calibri"/>
                <w:b w:val="0"/>
                <w:color w:val="33373B"/>
                <w:sz w:val="19"/>
              </w:rPr>
              <w:t>$50,000</w:t>
            </w:r>
          </w:p>
        </w:tc>
        <w:tc>
          <w:tcPr>
            <w:tcW w:type="dxa" w:w="2340"/>
            <w:vAlign w:val="center"/>
          </w:tcPr>
          <w:p>
            <w:pPr>
              <w:keepLines/>
              <w:spacing w:before="0" w:after="40" w:line="259" w:lineRule="auto"/>
            </w:pPr>
            <w:r>
              <w:rPr>
                <w:rFonts w:ascii="Calibri" w:hAnsi="Calibri"/>
                <w:b w:val="0"/>
                <w:color w:val="33373B"/>
                <w:sz w:val="19"/>
              </w:rPr>
              <w:t>$100,000</w:t>
            </w:r>
          </w:p>
        </w:tc>
        <w:tc>
          <w:tcPr>
            <w:tcW w:type="dxa" w:w="2340"/>
            <w:vAlign w:val="center"/>
          </w:tcPr>
          <w:p>
            <w:pPr>
              <w:keepLines/>
              <w:spacing w:before="0" w:after="40" w:line="259" w:lineRule="auto"/>
            </w:pPr>
            <w:r>
              <w:rPr>
                <w:rFonts w:ascii="Calibri" w:hAnsi="Calibri"/>
                <w:b w:val="0"/>
                <w:color w:val="33373B"/>
                <w:sz w:val="19"/>
              </w:rPr>
              <w:t>$75,000 to $125,000</w:t>
            </w:r>
          </w:p>
        </w:tc>
      </w:tr>
    </w:tbl>
    <w:p>
      <w:pPr>
        <w:spacing w:after="120"/>
      </w:pPr>
    </w:p>
    <w:p>
      <w:pPr>
        <w:pStyle w:val="Heading1"/>
        <w:keepNext/>
        <w:pageBreakBefore w:val="0"/>
      </w:pPr>
      <w:r>
        <w:rPr>
          <w:rFonts w:ascii="Calibri" w:hAnsi="Calibri"/>
          <w:b/>
          <w:color w:val="112A46"/>
        </w:rPr>
        <w:t>Implementation Model for Industrial Employers</w:t>
      </w:r>
    </w:p>
    <w:p>
      <w:pPr>
        <w:widowControl/>
      </w:pPr>
      <w:r>
        <w:rPr>
          <w:rFonts w:ascii="Calibri" w:hAnsi="Calibri"/>
          <w:color w:val="33373B"/>
        </w:rPr>
        <w:t>A heat program should be practical enough for field use and serious enough for executive review. Industrial MD recommends building around six operating questions.</w:t>
      </w:r>
    </w:p>
    <w:p>
      <w:pPr>
        <w:pStyle w:val="ListBullet"/>
        <w:widowControl/>
      </w:pPr>
      <w:r>
        <w:rPr>
          <w:rFonts w:ascii="Calibri" w:hAnsi="Calibri"/>
          <w:color w:val="33373B"/>
        </w:rPr>
        <w:t>Who owns heat readiness before the season, before the shift, and during a symptomatic event?</w:t>
      </w:r>
    </w:p>
    <w:p>
      <w:pPr>
        <w:pStyle w:val="ListBullet"/>
        <w:widowControl/>
      </w:pPr>
      <w:r>
        <w:rPr>
          <w:rFonts w:ascii="Calibri" w:hAnsi="Calibri"/>
          <w:color w:val="33373B"/>
        </w:rPr>
        <w:t>Which tasks, crews, PPE configurations, locations, and shift patterns create the highest heat burden?</w:t>
      </w:r>
    </w:p>
    <w:p>
      <w:pPr>
        <w:pStyle w:val="ListBullet"/>
        <w:widowControl/>
      </w:pPr>
      <w:r>
        <w:rPr>
          <w:rFonts w:ascii="Calibri" w:hAnsi="Calibri"/>
          <w:color w:val="33373B"/>
        </w:rPr>
        <w:t>How will supervisors identify new, returning, non-acclimatized, or worker-specific risk without violating privacy?</w:t>
      </w:r>
    </w:p>
    <w:p>
      <w:pPr>
        <w:pStyle w:val="ListBullet"/>
        <w:widowControl/>
      </w:pPr>
      <w:r>
        <w:rPr>
          <w:rFonts w:ascii="Calibri" w:hAnsi="Calibri"/>
          <w:color w:val="33373B"/>
        </w:rPr>
        <w:t>What supplies, cooling methods, communication pathways, and escalation criteria must be available at the point of work?</w:t>
      </w:r>
    </w:p>
    <w:p>
      <w:pPr>
        <w:pStyle w:val="ListBullet"/>
        <w:widowControl/>
      </w:pPr>
      <w:r>
        <w:rPr>
          <w:rFonts w:ascii="Calibri" w:hAnsi="Calibri"/>
          <w:color w:val="33373B"/>
        </w:rPr>
        <w:t>What facts must be gathered before contacting medical direction, and what red flags bypass consultation and trigger EMS immediately?</w:t>
      </w:r>
    </w:p>
    <w:p>
      <w:pPr>
        <w:pStyle w:val="ListBullet"/>
        <w:widowControl/>
      </w:pPr>
      <w:r>
        <w:rPr>
          <w:rFonts w:ascii="Calibri" w:hAnsi="Calibri"/>
          <w:color w:val="33373B"/>
        </w:rPr>
        <w:t>How will heat events be reviewed so the next shift has better controls than the last one?</w:t>
      </w:r>
    </w:p>
    <w:p>
      <w:pPr>
        <w:pStyle w:val="Heading1"/>
        <w:keepNext/>
        <w:pageBreakBefore w:val="0"/>
      </w:pPr>
      <w:r>
        <w:rPr>
          <w:rFonts w:ascii="Calibri" w:hAnsi="Calibri"/>
          <w:b/>
          <w:color w:val="112A46"/>
        </w:rPr>
        <w:t>Conclusion</w:t>
      </w:r>
    </w:p>
    <w:p>
      <w:pPr>
        <w:widowControl/>
      </w:pPr>
      <w:r>
        <w:rPr>
          <w:rFonts w:ascii="Calibri" w:hAnsi="Calibri"/>
          <w:color w:val="33373B"/>
        </w:rPr>
        <w:t>Heat exposure is predictable. Serious heat illness is often preventable when a company treats heat as a clinical operating risk rather than a seasonal inconvenience. Water, rest, shade, and acclimatization remain essential, but they are not the whole system. Employers also need earlier observation, worker-specific risk awareness, structured triage, active cooling, red-flag escalation, medical direction, documentation, and return-to-work discipline.</w:t>
      </w:r>
    </w:p>
    <w:p>
      <w:pPr>
        <w:widowControl/>
      </w:pPr>
      <w:r>
        <w:rPr>
          <w:rFonts w:ascii="Calibri" w:hAnsi="Calibri"/>
          <w:color w:val="33373B"/>
        </w:rPr>
        <w:t>Predictive Thermal Management gives leaders a usable frame: plan before exposure, notice the one worker whose risk is different, respond before symptoms become collapse, and use occupational medical direction when the facts become clinical. Prevention over reaction is a management decision.</w:t>
      </w:r>
    </w:p>
    <w:p>
      <w:pPr>
        <w:spacing w:after="40"/>
      </w:pPr>
    </w:p>
    <w:tbl>
      <w:tblGrid>
        <w:gridCol w:w="9360"/>
      </w:tblGrid>
      <w:tblPr>
        <w:tblW w:type="dxa" w:w="9360"/>
        <w:tblLayout w:type="fixed"/>
        <w:tblLook w:firstColumn="1" w:firstRow="1" w:lastColumn="0" w:lastRow="0" w:noHBand="0" w:noVBand="1" w:val="04A0"/>
        <w:tblInd w:type="dxa" w:w="120"/>
        <w:tblBorders>
          <w:top w:val="single" w:sz="4" w:space="0" w:color="5A6066"/>
          <w:left w:val="single" w:sz="4" w:space="0" w:color="5A6066"/>
          <w:bottom w:val="single" w:sz="4" w:space="0" w:color="5A6066"/>
          <w:right w:val="single" w:sz="4" w:space="0" w:color="5A6066"/>
          <w:insideH w:val="single" w:sz="4" w:space="0" w:color="5A6066"/>
          <w:insideV w:val="single" w:sz="4" w:space="0" w:color="5A6066"/>
        </w:tblBorders>
        <w:tblCellMar>
          <w:top w:w="100" w:type="dxa"/>
          <w:bottom w:w="100" w:type="dxa"/>
          <w:start w:w="140" w:type="dxa"/>
          <w:end w:w="140" w:type="dxa"/>
        </w:tblCellMar>
      </w:tblPr>
      <w:tr>
        <w:trPr>
          <w:tblHeader/>
          <w:cantSplit/>
        </w:trPr>
        <w:tc>
          <w:tcPr>
            <w:tcW w:type="dxa" w:w="9360"/>
            <w:shd w:fill="F2F4F7"/>
            <w:vAlign w:val="center"/>
          </w:tcPr>
          <w:p>
            <w:pPr>
              <w:keepLines/>
              <w:spacing w:after="80"/>
            </w:pPr>
            <w:r/>
            <w:r>
              <w:rPr>
                <w:rFonts w:ascii="Calibri" w:hAnsi="Calibri"/>
                <w:b/>
                <w:color w:val="5A6066"/>
                <w:sz w:val="21"/>
              </w:rPr>
              <w:t>Important Note</w:t>
            </w:r>
          </w:p>
          <w:p>
            <w:pPr>
              <w:keepLines/>
              <w:spacing w:after="40" w:line="269" w:lineRule="auto"/>
            </w:pPr>
            <w:r>
              <w:rPr>
                <w:rFonts w:ascii="Calibri" w:hAnsi="Calibri"/>
                <w:color w:val="33373B"/>
                <w:sz w:val="21"/>
              </w:rPr>
              <w:t>This white paper is for employer education and program planning. It does not replace a site-specific Emergency Action Plan, OSHA or legal advice, medical evaluation, or emergency care. Suspected heat stroke, altered mental status, collapse, seizure, severe symptoms, or rapid worsening require immediate emergency response.</w:t>
            </w:r>
          </w:p>
        </w:tc>
      </w:tr>
    </w:tbl>
    <w:p>
      <w:pPr>
        <w:spacing w:after="120"/>
      </w:pPr>
    </w:p>
    <w:p>
      <w:pPr>
        <w:pStyle w:val="Heading1"/>
        <w:keepNext/>
        <w:pageBreakBefore w:val="0"/>
      </w:pPr>
      <w:r>
        <w:rPr>
          <w:rFonts w:ascii="Calibri" w:hAnsi="Calibri"/>
          <w:b/>
          <w:color w:val="112A46"/>
        </w:rPr>
        <w:t>Source Notes</w:t>
      </w:r>
    </w:p>
    <w:p>
      <w:pPr>
        <w:pStyle w:val="ListBullet"/>
        <w:widowControl/>
        <w:spacing w:after="60" w:line="252" w:lineRule="auto"/>
      </w:pPr>
      <w:r>
        <w:rPr>
          <w:rFonts w:ascii="Calibri" w:hAnsi="Calibri"/>
          <w:color w:val="33373B"/>
          <w:sz w:val="19"/>
        </w:rPr>
        <w:t>OSHA, Heat - Overview: occupational heat risk factors, employer controls, and WBGT guidance. https://www.osha.gov/heat-exposure</w:t>
      </w:r>
    </w:p>
    <w:p>
      <w:pPr>
        <w:pStyle w:val="ListBullet"/>
        <w:widowControl/>
        <w:spacing w:after="60" w:line="252" w:lineRule="auto"/>
      </w:pPr>
      <w:r>
        <w:rPr>
          <w:rFonts w:ascii="Calibri" w:hAnsi="Calibri"/>
          <w:color w:val="33373B"/>
          <w:sz w:val="19"/>
        </w:rPr>
        <w:t>OSHA, Heat Injury and Illness Prevention in Outdoor and Indoor Work Settings Rulemaking: proposed rule published August 30, 2024; hearings concluded July 2, 2025; post-hearing comment period ended October 30, 2025; current status checked July 2026. https://www.osha.gov/heat-exposure/rulemaking</w:t>
      </w:r>
    </w:p>
    <w:p>
      <w:pPr>
        <w:pStyle w:val="ListBullet"/>
        <w:widowControl/>
        <w:spacing w:after="60" w:line="252" w:lineRule="auto"/>
      </w:pPr>
      <w:r>
        <w:rPr>
          <w:rFonts w:ascii="Calibri" w:hAnsi="Calibri"/>
          <w:color w:val="33373B"/>
          <w:sz w:val="19"/>
        </w:rPr>
        <w:t>OSHA, Heat - Overview: April 10, 2026 National Emphasis Program update listed as a current heat-resource highlight. https://www.osha.gov/heat-exposure</w:t>
      </w:r>
    </w:p>
    <w:p>
      <w:pPr>
        <w:pStyle w:val="ListBullet"/>
        <w:widowControl/>
        <w:spacing w:after="60" w:line="252" w:lineRule="auto"/>
      </w:pPr>
      <w:r>
        <w:rPr>
          <w:rFonts w:ascii="Calibri" w:hAnsi="Calibri"/>
          <w:color w:val="33373B"/>
          <w:sz w:val="19"/>
        </w:rPr>
        <w:t>OSHA, Heat - Standards: General Duty Clause and state heat-standard context. https://www.osha.gov/heat-exposure/standards</w:t>
      </w:r>
    </w:p>
    <w:p>
      <w:pPr>
        <w:pStyle w:val="ListBullet"/>
        <w:widowControl/>
        <w:spacing w:after="60" w:line="252" w:lineRule="auto"/>
      </w:pPr>
      <w:r>
        <w:rPr>
          <w:rFonts w:ascii="Calibri" w:hAnsi="Calibri"/>
          <w:color w:val="33373B"/>
          <w:sz w:val="19"/>
        </w:rPr>
        <w:t>OSHA, Protecting New Workers: heat fatality risk is concentrated in the first day and first week for new or returning workers. https://www.osha.gov/heat-exposure/protecting-new-workers</w:t>
      </w:r>
    </w:p>
    <w:p>
      <w:pPr>
        <w:pStyle w:val="ListBullet"/>
        <w:widowControl/>
        <w:spacing w:after="60" w:line="252" w:lineRule="auto"/>
      </w:pPr>
      <w:r>
        <w:rPr>
          <w:rFonts w:ascii="Calibri" w:hAnsi="Calibri"/>
          <w:color w:val="33373B"/>
          <w:sz w:val="19"/>
        </w:rPr>
        <w:t>CDC/NIOSH, Heat Stress and Workers: heat stress reflects metabolic heat, environmental heat, clothing/PPE, and individual risk factors. https://www.cdc.gov/niosh/heat-stress/about/index.html</w:t>
      </w:r>
    </w:p>
    <w:p>
      <w:pPr>
        <w:pStyle w:val="ListBullet"/>
        <w:widowControl/>
        <w:spacing w:after="60" w:line="252" w:lineRule="auto"/>
      </w:pPr>
      <w:r>
        <w:rPr>
          <w:rFonts w:ascii="Calibri" w:hAnsi="Calibri"/>
          <w:color w:val="33373B"/>
          <w:sz w:val="19"/>
        </w:rPr>
        <w:t>CDC/NIOSH, Workplace Recommendations: engineering and administrative controls, training, buddy system, water, heat alert plans, and acclimatization. https://www.cdc.gov/niosh/heat-stress/recommendations/index.html</w:t>
      </w:r>
    </w:p>
    <w:p>
      <w:pPr>
        <w:pStyle w:val="ListBullet"/>
        <w:widowControl/>
        <w:spacing w:after="60" w:line="252" w:lineRule="auto"/>
      </w:pPr>
      <w:r>
        <w:rPr>
          <w:rFonts w:ascii="Calibri" w:hAnsi="Calibri"/>
          <w:color w:val="33373B"/>
          <w:sz w:val="19"/>
        </w:rPr>
        <w:t>CDC/NIOSH, Heat-related Illnesses: heat stroke emergency signs and rapid cooling guidance. https://www.cdc.gov/niosh/heat-stress/about/illnesses.html</w:t>
      </w:r>
    </w:p>
    <w:p>
      <w:pPr>
        <w:pStyle w:val="ListBullet"/>
        <w:widowControl/>
        <w:spacing w:after="60" w:line="252" w:lineRule="auto"/>
      </w:pPr>
      <w:r>
        <w:rPr>
          <w:rFonts w:ascii="Calibri" w:hAnsi="Calibri"/>
          <w:color w:val="33373B"/>
          <w:sz w:val="19"/>
        </w:rPr>
        <w:t>BLS, It's summer and it's hot on the job: 2023 outdoor exposure and 2021-2022 private-industry heat cases involving days away from work. https://www.bls.gov/opub/ted/2024/its-summer-and-its-hot-on-the-job.htm</w:t>
      </w:r>
    </w:p>
    <w:p>
      <w:pPr>
        <w:pStyle w:val="ListBullet"/>
        <w:widowControl/>
        <w:spacing w:after="60" w:line="252" w:lineRule="auto"/>
      </w:pPr>
      <w:r>
        <w:rPr>
          <w:rFonts w:ascii="Calibri" w:hAnsi="Calibri"/>
          <w:color w:val="33373B"/>
          <w:sz w:val="19"/>
        </w:rPr>
        <w:t>BLS, Environmental heat exposure deaths: 36 work-related deaths in 2021 and 436 since 2011; construction, repair, and cleaning overrepresented in 2011-2019 data. https://www.bls.gov/opub/ted/2023/36-work-related-deaths-due-to-environmental-heat-exposure-in-2021.htm and https://www.bls.gov/opub/ted/2021/43-work-related-deaths-due-to-environmental-heat-exposure-in-2019.htm</w:t>
      </w:r>
    </w:p>
    <w:sectPr w:rsidR="00FC693F" w:rsidRPr="0006063C" w:rsidSect="00034616">
      <w:headerReference w:type="default" r:id="rId9"/>
      <w:footerReference w:type="default" r:id="rId10"/>
      <w:pgSz w:w="12240" w:h="15840"/>
      <w:pgMar w:top="1440" w:right="1440" w:bottom="1440" w:left="1440" w:header="708" w:footer="70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before="40"/>
      <w:jc w:val="right"/>
    </w:pPr>
    <w:r>
      <w:rPr>
        <w:rFonts w:ascii="Calibri" w:hAnsi="Calibri"/>
        <w:color w:val="5A6066"/>
        <w:sz w:val="17"/>
      </w:rPr>
      <w:t xml:space="preserve">Page </w:t>
    </w:r>
    <w:r>
      <w:rPr>
        <w:rFonts w:ascii="Calibri" w:hAnsi="Calibri"/>
        <w:color w:val="5A6066"/>
        <w:sz w:val="17"/>
      </w:rPr>
      <w:fldChar w:fldCharType="begin"/>
      <w:instrText xml:space="preserve"> PAGE </w:instrText>
      <w:fldChar w:fldCharType="separate"/>
      <w:t>1</w: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after="60"/>
      <w:jc w:val="left"/>
      <w:pBdr>
        <w:bottom w:val="single" w:sz="6" w:space="1" w:color="D9DEE6"/>
      </w:pBdr>
    </w:pPr>
    <w:r>
      <w:rPr>
        <w:rFonts w:ascii="Calibri" w:hAnsi="Calibri"/>
        <w:b/>
        <w:color w:val="5A6066"/>
        <w:sz w:val="17"/>
      </w:rPr>
      <w:t>Industrial MD | Predictive Thermal Management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0" w:after="120" w:line="264" w:lineRule="auto"/>
    </w:pPr>
    <w:rPr>
      <w:rFonts w:ascii="Calibri" w:hAnsi="Calibri"/>
      <w:color w:val="33373B"/>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60" w:line="264" w:lineRule="auto"/>
      <w:outlineLvl w:val="0"/>
    </w:pPr>
    <w:rPr>
      <w:rFonts w:asciiTheme="majorHAnsi" w:eastAsiaTheme="majorEastAsia" w:hAnsiTheme="majorHAnsi" w:cstheme="majorBidi" w:ascii="Calibri" w:hAnsi="Calibri"/>
      <w:b/>
      <w:bCs/>
      <w:color w:val="112A46"/>
      <w:sz w:val="32"/>
      <w:szCs w:val="28"/>
    </w:rPr>
  </w:style>
  <w:style w:type="paragraph" w:styleId="Heading2">
    <w:name w:val="heading 2"/>
    <w:basedOn w:val="Normal"/>
    <w:next w:val="Normal"/>
    <w:link w:val="Heading2Char"/>
    <w:uiPriority w:val="9"/>
    <w:unhideWhenUsed/>
    <w:qFormat/>
    <w:rsid w:val="00FC693F"/>
    <w:pPr>
      <w:keepNext/>
      <w:keepLines/>
      <w:spacing w:before="240" w:after="120" w:line="264" w:lineRule="auto"/>
      <w:outlineLvl w:val="1"/>
    </w:pPr>
    <w:rPr>
      <w:rFonts w:asciiTheme="majorHAnsi" w:eastAsiaTheme="majorEastAsia" w:hAnsiTheme="majorHAnsi" w:cstheme="majorBidi" w:ascii="Calibri" w:hAnsi="Calibri"/>
      <w:b/>
      <w:bCs/>
      <w:color w:val="112A46"/>
      <w:sz w:val="26"/>
      <w:szCs w:val="26"/>
    </w:rPr>
  </w:style>
  <w:style w:type="paragraph" w:styleId="Heading3">
    <w:name w:val="heading 3"/>
    <w:basedOn w:val="Normal"/>
    <w:next w:val="Normal"/>
    <w:link w:val="Heading3Char"/>
    <w:uiPriority w:val="9"/>
    <w:unhideWhenUsed/>
    <w:qFormat/>
    <w:rsid w:val="00FC693F"/>
    <w:pPr>
      <w:keepNext/>
      <w:keepLines/>
      <w:spacing w:before="160" w:after="80" w:line="264" w:lineRule="auto"/>
      <w:outlineLvl w:val="2"/>
    </w:pPr>
    <w:rPr>
      <w:rFonts w:asciiTheme="majorHAnsi" w:eastAsiaTheme="majorEastAsia" w:hAnsiTheme="majorHAnsi" w:cstheme="majorBidi" w:ascii="Calibri" w:hAnsi="Calibri"/>
      <w:b/>
      <w:bCs/>
      <w:color w:val="33373B"/>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160" w:line="280" w:lineRule="auto"/>
      <w:ind w:left="720" w:hanging="360"/>
      <w:contextualSpacing/>
    </w:pPr>
    <w:rPr>
      <w:rFonts w:ascii="Calibri" w:hAnsi="Calibri"/>
      <w:color w:val="33373B"/>
      <w:sz w:val="22"/>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spacing w:after="160" w:line="280" w:lineRule="auto"/>
      <w:ind w:left="720" w:hanging="360"/>
      <w:contextualSpacing/>
    </w:pPr>
    <w:rPr>
      <w:rFonts w:ascii="Calibri" w:hAnsi="Calibri"/>
      <w:color w:val="33373B"/>
      <w:sz w:val="22"/>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Predictive Thermal Management</dc:title>
  <dc:subject>Heat illness prevention and medical direction white paper for industrial employers</dc:subject>
  <dc:creator>Industrial MD</dc:creator>
  <cp:keywords>Industrial MD, heat illness prevention, predictive thermal management, occupational heat stress, medical direction, WBGT, OSHA heat, return to work</cp:keywords>
  <dc:description>generated by python-docx</dc:description>
  <cp:lastModifiedBy/>
  <cp:revision>1</cp:revision>
  <dcterms:created xsi:type="dcterms:W3CDTF">2013-12-23T23:15:00Z</dcterms:created>
  <dcterms:modified xsi:type="dcterms:W3CDTF">2026-07-05T23:28:22Z</dcterms:modified>
  <cp:category/>
</cp:coreProperties>
</file>